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04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Tableau récapitulatif des titres et qualités des formateurs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Présentation des personnes intervenant en qualité de formateur ; les diplômes, certificats et CV sont joints en annexe.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Équipe pédagogique de la première promotion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tableau ci-dessous recense les intervenants pressentis. Chaque ligne renvoie à un justificatif joint (CV daté et signé, copie des diplômes et certificats).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00"/>
        <w:gridCol w:w="1500"/>
        <w:gridCol w:w="3200"/>
        <w:gridCol w:w="1800"/>
        <w:gridCol w:w="1438"/>
      </w:tblGrid>
      <w:tr>
        <w:trPr>
          <w:tblHeader/>
        </w:trPr>
        <w:tc>
          <w:tcPr>
            <w:tcW w:type="dxa" w:w="1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Intervenant</w:t>
            </w:r>
          </w:p>
        </w:tc>
        <w:tc>
          <w:tcPr>
            <w:tcW w:type="dxa" w:w="15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Statut</w:t>
            </w:r>
          </w:p>
        </w:tc>
        <w:tc>
          <w:tcPr>
            <w:tcW w:type="dxa" w:w="32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Titres et qualités</w:t>
            </w:r>
          </w:p>
        </w:tc>
        <w:tc>
          <w:tcPr>
            <w:tcW w:type="dxa" w:w="18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Modules assurés</w:t>
            </w:r>
          </w:p>
        </w:tc>
        <w:tc>
          <w:tcPr>
            <w:tcW w:type="dxa" w:w="14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Justificatifs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Aurélien LUMEKA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Dirigeant, formateur permanent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Formateur en vente, négociation, management et soft skills depuis 2021 dans plusieurs centres de formation de La Réunion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Formateur en IA, implémentation de workflows et gouvernance RGPD / IA Act depuis 2026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Google AI Specialist ; Google Professional AI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Référent handicap en organisme de formation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SecNumacadémie (ANSSI)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MOOC RGPD de la CNIL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[diplôme(s) initial(aux)]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MEM : CCP 1, 2 et 3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Product Builder : gestion de projet, automatisation, données, RGPD et IA Act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Responsable RH : management, communication, RGPD et IA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Modules transverses</w:t>
            </w:r>
          </w:p>
        </w:tc>
        <w:tc>
          <w:tcPr>
            <w:tcW w:type="dxa" w:w="1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CV ; copies des attestations ;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[diplômes]</w:t>
            </w:r>
          </w:p>
        </w:tc>
      </w:tr>
      <w:tr>
        <w:trPr>
          <w:cantSplit/>
        </w:trPr>
        <w:tc>
          <w:tcPr>
            <w:tcW w:type="dxa" w:w="1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[Intervenant expert RH à identifier]</w:t>
            </w:r>
          </w:p>
        </w:tc>
        <w:tc>
          <w:tcPr>
            <w:tcW w:type="dxa" w:w="1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Sous-traitant (à contractualiser)</w:t>
            </w:r>
          </w:p>
        </w:tc>
        <w:tc>
          <w:tcPr>
            <w:tcW w:type="dxa" w:w="3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[Diplôme RH de niveau 6 ou 7 et expérience de responsable RH]</w:t>
            </w:r>
          </w:p>
        </w:tc>
        <w:tc>
          <w:tcPr>
            <w:tcW w:type="dxa" w:w="1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Responsable RH : droit du travail, paie, GEPP</w:t>
            </w:r>
          </w:p>
        </w:tc>
        <w:tc>
          <w:tcPr>
            <w:tcW w:type="dxa" w:w="1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[CV, diplômes, contrat de sous-traitance]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[Intervenant expert no-code à identifier]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Sous-traitant (à contractualiser)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[Expérience de développement d’applications sans code]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Product Builder : développement et configuration d’applications</w:t>
            </w:r>
          </w:p>
        </w:tc>
        <w:tc>
          <w:tcPr>
            <w:tcW w:type="dxa" w:w="1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[CV, attestations, contrat de sous-traitance]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Règles de recrutement et de maintien des compétences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Chaque formateur justifie d’une </w:t>
      </w:r>
      <w:r>
        <w:rPr>
          <w:rFonts w:ascii="Inter" w:cs="Inter" w:eastAsia="Inter" w:hAnsi="Inter"/>
          <w:b/>
          <w:bCs/>
        </w:rPr>
        <w:t xml:space="preserve">expérience professionnelle dans le métier enseigné</w:t>
      </w:r>
      <w:r>
        <w:rPr>
          <w:rFonts w:ascii="Inter" w:cs="Inter" w:eastAsia="Inter" w:hAnsi="Inter"/>
        </w:rPr>
        <w:t xml:space="preserve"> et/ou d’un diplôme de niveau au moins égal à celui de la certification préparée.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Pour le titre professionnel MEM, l’équipe respecte les exigences fixées par le référentiel de certification du titre. Pour le Product Builder No-Code et le Responsable RH, elle respecte les exigences fixées par chaque certificateur dans la convention de partenariat.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YEBA FORMATIONS compte aujourd’hui un formateur permanent, son dirigeant. Les modules qui demandent une expertise technique pointue (droit du travail et paie, développement sans code) seront confiés à des </w:t>
      </w:r>
      <w:r>
        <w:rPr>
          <w:rFonts w:ascii="Inter" w:cs="Inter" w:eastAsia="Inter" w:hAnsi="Inter"/>
          <w:b/>
          <w:bCs/>
        </w:rPr>
        <w:t xml:space="preserve">intervenants experts sous contrat de sous-traitance</w:t>
      </w:r>
      <w:r>
        <w:rPr>
          <w:rFonts w:ascii="Inter" w:cs="Inter" w:eastAsia="Inter" w:hAnsi="Inter"/>
        </w:rPr>
        <w:t xml:space="preserve">, recrutés avant le </w:t>
      </w:r>
      <w:r>
        <w:rPr>
          <w:rFonts w:ascii="Inter" w:cs="Inter" w:eastAsia="Inter" w:hAnsi="Inter"/>
          <w:b/>
          <w:bCs/>
        </w:rPr>
        <w:t xml:space="preserve">1er mars 2027</w:t>
      </w:r>
      <w:r>
        <w:rPr>
          <w:rFonts w:ascii="Inter" w:cs="Inter" w:eastAsia="Inter" w:hAnsi="Inter"/>
        </w:rPr>
        <w:t xml:space="preserve">. Leur CV et leurs diplômes seront transmis à la DEETS dès la signature des contrats.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Chaque formateur suit au moins </w:t>
      </w:r>
      <w:r>
        <w:rPr>
          <w:rFonts w:ascii="Inter" w:cs="Inter" w:eastAsia="Inter" w:hAnsi="Inter"/>
          <w:b/>
          <w:bCs/>
        </w:rPr>
        <w:t xml:space="preserve">une action de développement des compétences par an</w:t>
      </w:r>
      <w:r>
        <w:rPr>
          <w:rFonts w:ascii="Inter" w:cs="Inter" w:eastAsia="Inter" w:hAnsi="Inter"/>
        </w:rPr>
        <w:t xml:space="preserve"> (pédagogie, handicap, numérique, métier), tracée dans un plan annuel conformément à l’indicateur 26 du référentiel national qualité.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Les intervenants extérieurs signent une </w:t>
      </w:r>
      <w:r>
        <w:rPr>
          <w:rFonts w:ascii="Inter" w:cs="Inter" w:eastAsia="Inter" w:hAnsi="Inter"/>
          <w:b/>
          <w:bCs/>
        </w:rPr>
        <w:t xml:space="preserve">charte de l’intervenant</w:t>
      </w:r>
      <w:r>
        <w:rPr>
          <w:rFonts w:ascii="Inter" w:cs="Inter" w:eastAsia="Inter" w:hAnsi="Inter"/>
        </w:rPr>
        <w:t xml:space="preserve"> (posture, égalité, confidentialité, RGPD).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Les CV et diplômes des formateurs sont des données personnelles : ils ne sont transmis à la DEETS qu’aux fins de l’instruction, avec information préalable des intéressés. Conservation limitée à la durée de la collaboration augmentée des délais de contrôle (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[durée à fixer]</w:t>
            </w:r>
            <w:r>
              <w:rPr>
                <w:rFonts w:ascii="Inter" w:cs="Inter" w:eastAsia="Inter" w:hAnsi="Inter"/>
              </w:rPr>
              <w:t xml:space="preserve">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04 — Tableau récapitulatif des titres et qualités des formateurs</dc:title>
  <dc:creator>Aurélien LUMEKA</dc:creator>
  <cp:lastModifiedBy>Un-named</cp:lastModifiedBy>
  <cp:revision>1</cp:revision>
  <dcterms:created xsi:type="dcterms:W3CDTF">2026-10-28T13:11:09.549Z</dcterms:created>
  <dcterms:modified xsi:type="dcterms:W3CDTF">2026-10-28T13:11:09.549Z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