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Montserrat" w:cs="Montserrat" w:eastAsia="Montserrat" w:hAnsi="Montserrat"/>
          <w:b/>
          <w:bCs/>
          <w:color w:val="1B3A6B"/>
          <w:sz w:val="40"/>
          <w:szCs w:val="40"/>
        </w:rPr>
        <w:t xml:space="preserve">YEBA</w:t>
      </w:r>
      <w:r>
        <w:rPr>
          <w:rFonts w:ascii="Montserrat" w:cs="Montserrat" w:eastAsia="Montserrat" w:hAnsi="Montserrat"/>
          <w:b/>
          <w:bCs/>
          <w:color w:val="C9AB4C"/>
          <w:sz w:val="40"/>
          <w:szCs w:val="40"/>
        </w:rPr>
        <w:t xml:space="preserve">  FORMATIONS</w:t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06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Notice — Modalités et périodicité d’évaluation des compétences acquises par les apprentis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Organisation de l’évaluation des compétences (positionnement, évaluations formatives, contrôle continu, évaluations certificatives) et calendrier.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n° 25FOR02027.1 (actions de formation). Extension à la catégorie « actions de formation par apprentissage » engagée : l’audit d’extension sera réalisé dès l’entrée en formation du premier apprenti (courriel de l’organisme certificateur du 14/10/2026).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Aurélien LUMEKA, Directeur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Version 2 du 28/10/2026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Principes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L’article L.6231-2 du Code du travail confie au CFA l’évaluation des compétences acquises par les apprentis, y compris sous forme de contrôle continu, </w:t>
      </w:r>
      <w:r>
        <w:rPr>
          <w:rFonts w:ascii="Inter" w:cs="Inter" w:eastAsia="Inter" w:hAnsi="Inter"/>
          <w:b/>
          <w:bCs/>
        </w:rPr>
        <w:t xml:space="preserve">dans le respect des règles définies par chaque organisme certificateur</w:t>
      </w:r>
      <w:r>
        <w:rPr>
          <w:rFonts w:ascii="Inter" w:cs="Inter" w:eastAsia="Inter" w:hAnsi="Inter"/>
        </w:rPr>
        <w:t xml:space="preserve">. YEBA FORMATIONS organise donc ses évaluations à partir du référentiel de chaque certification préparée (référentiel d’activités, de compétences et d’évaluation enregistré au RNCP).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  <w:b/>
          <w:bCs/>
        </w:rPr>
        <w:t xml:space="preserve">Évaluer pour faire progresser</w:t>
      </w:r>
      <w:r>
        <w:rPr>
          <w:rFonts w:ascii="Inter" w:cs="Inter" w:eastAsia="Inter" w:hAnsi="Inter"/>
        </w:rPr>
        <w:t xml:space="preserve"> : la majorité des évaluations est formative et donne lieu à un retour individuel.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  <w:b/>
          <w:bCs/>
        </w:rPr>
        <w:t xml:space="preserve">Évaluer en situation réelle</w:t>
      </w:r>
      <w:r>
        <w:rPr>
          <w:rFonts w:ascii="Inter" w:cs="Inter" w:eastAsia="Inter" w:hAnsi="Inter"/>
        </w:rPr>
        <w:t xml:space="preserve"> : les compétences sont observées au CFA (mises en situation) et en entreprise (avec le maître d’apprentissage).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  <w:b/>
          <w:bCs/>
        </w:rPr>
        <w:t xml:space="preserve">Évaluer de manière équitable</w:t>
      </w:r>
      <w:r>
        <w:rPr>
          <w:rFonts w:ascii="Inter" w:cs="Inter" w:eastAsia="Inter" w:hAnsi="Inter"/>
        </w:rPr>
        <w:t xml:space="preserve"> : grilles critériées communes, critères connus à l’avance, adaptations pour les apprentis en situation de handicap (pièce n° 10).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Les quatre temps de l’évaluation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100"/>
        <w:gridCol w:w="2700"/>
        <w:gridCol w:w="3100"/>
        <w:gridCol w:w="1738"/>
      </w:tblGrid>
      <w:tr>
        <w:trPr>
          <w:tblHeader/>
        </w:trPr>
        <w:tc>
          <w:tcPr>
            <w:tcW w:type="dxa" w:w="21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Temps</w:t>
            </w:r>
          </w:p>
        </w:tc>
        <w:tc>
          <w:tcPr>
            <w:tcW w:type="dxa" w:w="27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Objectif</w:t>
            </w:r>
          </w:p>
        </w:tc>
        <w:tc>
          <w:tcPr>
            <w:tcW w:type="dxa" w:w="31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Outils</w:t>
            </w:r>
          </w:p>
        </w:tc>
        <w:tc>
          <w:tcPr>
            <w:tcW w:type="dxa" w:w="17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Périodicité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1. Positionnement initial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Mesurer les acquis à l’entrée, adapter le parcours et la durée si besoin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Entretien, test de positionnement, questionnaire de besoins</w:t>
            </w:r>
          </w:p>
        </w:tc>
        <w:tc>
          <w:tcPr>
            <w:tcW w:type="dxa" w:w="17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À l’entrée en formation</w:t>
            </w:r>
          </w:p>
        </w:tc>
      </w:tr>
      <w:tr>
        <w:trPr>
          <w:cantSplit/>
        </w:trPr>
        <w:tc>
          <w:tcPr>
            <w:tcW w:type="dxa" w:w="21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2. Évaluations formatives</w:t>
            </w:r>
          </w:p>
        </w:tc>
        <w:tc>
          <w:tcPr>
            <w:tcW w:type="dxa" w:w="2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Vérifier l’acquisition de chaque module et ajuster</w:t>
            </w:r>
          </w:p>
        </w:tc>
        <w:tc>
          <w:tcPr>
            <w:tcW w:type="dxa" w:w="31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Quiz courts, études de cas, jeux de rôle filmés (vente, négociation, management), auto-évaluation</w:t>
            </w:r>
          </w:p>
        </w:tc>
        <w:tc>
          <w:tcPr>
            <w:tcW w:type="dxa" w:w="17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À la fin de chaque séquence de formation au CFA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3. Évaluations en entreprise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Vérifier le transfert en situation de travail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Grille de compétences du livret d’apprentissage, complétée par le maître d’apprentissage</w:t>
            </w:r>
          </w:p>
        </w:tc>
        <w:tc>
          <w:tcPr>
            <w:tcW w:type="dxa" w:w="17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À chaque visite et au moins une fois par trimestre</w:t>
            </w:r>
          </w:p>
        </w:tc>
      </w:tr>
      <w:tr>
        <w:trPr>
          <w:cantSplit/>
        </w:trPr>
        <w:tc>
          <w:tcPr>
            <w:tcW w:type="dxa" w:w="21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4. Évaluations certificatives</w:t>
            </w:r>
          </w:p>
        </w:tc>
        <w:tc>
          <w:tcPr>
            <w:tcW w:type="dxa" w:w="2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Préparer et passer les épreuves de la certification</w:t>
            </w:r>
          </w:p>
        </w:tc>
        <w:tc>
          <w:tcPr>
            <w:tcW w:type="dxa" w:w="31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Selon le règlement du certificateur : évaluations en cours de formation, dossier professionnel, mise en situation professionnelle, entretien avec le jury, épreuves ponctuelles</w:t>
            </w:r>
          </w:p>
        </w:tc>
        <w:tc>
          <w:tcPr>
            <w:tcW w:type="dxa" w:w="17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Selon le calendrier du certificateur ; examen blanc 1 à 2 mois avant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Calendrier type (contrat de 12 mois)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000"/>
        <w:gridCol w:w="4800"/>
        <w:gridCol w:w="2838"/>
      </w:tblGrid>
      <w:tr>
        <w:trPr>
          <w:tblHeader/>
        </w:trPr>
        <w:tc>
          <w:tcPr>
            <w:tcW w:type="dxa" w:w="2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48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Évaluation</w:t>
            </w:r>
          </w:p>
        </w:tc>
        <w:tc>
          <w:tcPr>
            <w:tcW w:type="dxa" w:w="28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Acteurs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Mois 1</w:t>
            </w:r>
          </w:p>
        </w:tc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Positionnement ; entretien de fin de période des 45 jours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Formateur référent, apprenti, maître d’apprentissage</w:t>
            </w:r>
          </w:p>
        </w:tc>
      </w:tr>
      <w:tr>
        <w:trPr>
          <w:cantSplit/>
        </w:trPr>
        <w:tc>
          <w:tcPr>
            <w:tcW w:type="dxa" w:w="2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Mois 2 à 11</w:t>
            </w:r>
          </w:p>
        </w:tc>
        <w:tc>
          <w:tcPr>
            <w:tcW w:type="dxa" w:w="4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Évaluations formatives à chaque séquence au CFA</w:t>
            </w:r>
          </w:p>
        </w:tc>
        <w:tc>
          <w:tcPr>
            <w:tcW w:type="dxa" w:w="2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Formateurs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Mois 3, 6, 9</w:t>
            </w:r>
          </w:p>
        </w:tc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Bilan trimestriel des compétences (CFA + entreprise) et relevé de progression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Formateur référent, maître d’apprentissage</w:t>
            </w:r>
          </w:p>
        </w:tc>
      </w:tr>
      <w:tr>
        <w:trPr>
          <w:cantSplit/>
        </w:trPr>
        <w:tc>
          <w:tcPr>
            <w:tcW w:type="dxa" w:w="2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Mois 6</w:t>
            </w:r>
          </w:p>
        </w:tc>
        <w:tc>
          <w:tcPr>
            <w:tcW w:type="dxa" w:w="4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Bilan intermédiaire partagé avec l’employeur</w:t>
            </w:r>
          </w:p>
        </w:tc>
        <w:tc>
          <w:tcPr>
            <w:tcW w:type="dxa" w:w="2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Formateur référent, apprenti, employeur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Mois 10</w:t>
            </w:r>
          </w:p>
        </w:tc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Examen blanc dans les conditions de l’épreuve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Formateurs, professionnel extérieur si possible</w:t>
            </w:r>
          </w:p>
        </w:tc>
      </w:tr>
      <w:tr>
        <w:trPr>
          <w:cantSplit/>
        </w:trPr>
        <w:tc>
          <w:tcPr>
            <w:tcW w:type="dxa" w:w="2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Mois 11 à 12</w:t>
            </w:r>
          </w:p>
        </w:tc>
        <w:tc>
          <w:tcPr>
            <w:tcW w:type="dxa" w:w="4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Épreuves de certification</w:t>
            </w:r>
          </w:p>
        </w:tc>
        <w:tc>
          <w:tcPr>
            <w:tcW w:type="dxa" w:w="2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Jury désigné selon les règles du certificateur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4. Communication des résultats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Retour individuel écrit après chaque évaluation formative significative.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Relevé de progression trimestriel transmis à l’apprenti et à l’employeur (et aux représentants légaux pour les mineurs).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Plan de remédiation individuel en cas de résultats insuffisants : soutien, exercices complémentaires, entretien avec le maître d’apprentissage.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5. Organisation de la certification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3200"/>
        <w:gridCol w:w="2000"/>
        <w:gridCol w:w="4438"/>
      </w:tblGrid>
      <w:tr>
        <w:trPr>
          <w:tblHeader/>
        </w:trPr>
        <w:tc>
          <w:tcPr>
            <w:tcW w:type="dxa" w:w="32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Certification</w:t>
            </w:r>
          </w:p>
        </w:tc>
        <w:tc>
          <w:tcPr>
            <w:tcW w:type="dxa" w:w="2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Certificateur</w:t>
            </w:r>
          </w:p>
        </w:tc>
        <w:tc>
          <w:tcPr>
            <w:tcW w:type="dxa" w:w="44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Organisation de la certification</w:t>
            </w:r>
          </w:p>
        </w:tc>
      </w:tr>
      <w:tr>
        <w:trPr>
          <w:cantSplit w:val="false"/>
        </w:trP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Titre professionnel Manager d’établissement marchand — RNCP 41853 (niveau 5)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Ministère du Travail</w:t>
            </w:r>
          </w:p>
        </w:tc>
        <w:tc>
          <w:tcPr>
            <w:tcW w:type="dxa" w:w="44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YEBA FORMATIONS demande à la DEETS La Réunion l’</w:t>
            </w:r>
            <w:r>
              <w:rPr>
                <w:rFonts w:ascii="Inter" w:cs="Inter" w:eastAsia="Inter" w:hAnsi="Inter"/>
                <w:b/>
                <w:bCs/>
              </w:rPr>
              <w:t xml:space="preserve">agrément</w:t>
            </w:r>
            <w:r>
              <w:rPr>
                <w:rFonts w:ascii="Inter" w:cs="Inter" w:eastAsia="Inter" w:hAnsi="Inter"/>
              </w:rPr>
              <w:t xml:space="preserve"> pour organiser la session de validation (dossier déposé au moins 6 mois avant la session). Épreuves selon le référentiel d’évaluation : mise en situation professionnelle, entretien technique, dossier professionnel et résultats des évaluations passées en cours de formation, entretien final avec le jury.</w:t>
            </w:r>
          </w:p>
        </w:tc>
      </w:tr>
      <w:tr>
        <w:trPr>
          <w:cantSplit/>
        </w:trPr>
        <w:tc>
          <w:tcPr>
            <w:tcW w:type="dxa" w:w="32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Product Builder No-Code — RNCP 39108 (niveau 6)</w:t>
            </w:r>
          </w:p>
        </w:tc>
        <w:tc>
          <w:tcPr>
            <w:tcW w:type="dxa" w:w="2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L’École pour tous (École Cube)</w:t>
            </w:r>
          </w:p>
        </w:tc>
        <w:tc>
          <w:tcPr>
            <w:tcW w:type="dxa" w:w="44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Modalités d’évaluation fixées par le certificateur dans la </w:t>
            </w:r>
            <w:r>
              <w:rPr>
                <w:rFonts w:ascii="Inter" w:cs="Inter" w:eastAsia="Inter" w:hAnsi="Inter"/>
                <w:b/>
                <w:bCs/>
              </w:rPr>
              <w:t xml:space="preserve">convention de partenariat</w:t>
            </w:r>
            <w:r>
              <w:rPr>
                <w:rFonts w:ascii="Inter" w:cs="Inter" w:eastAsia="Inter" w:hAnsi="Inter"/>
              </w:rPr>
              <w:t xml:space="preserve">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[à signer et à joindre]</w:t>
            </w:r>
            <w:r>
              <w:rPr>
                <w:rFonts w:ascii="Inter" w:cs="Inter" w:eastAsia="Inter" w:hAnsi="Inter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Responsable ressources humaines — RNCP 38442 (niveau 6)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Cnam</w:t>
            </w:r>
          </w:p>
        </w:tc>
        <w:tc>
          <w:tcPr>
            <w:tcW w:type="dxa" w:w="44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Modalités d’évaluation fixées par le Cnam dans la </w:t>
            </w:r>
            <w:r>
              <w:rPr>
                <w:rFonts w:ascii="Inter" w:cs="Inter" w:eastAsia="Inter" w:hAnsi="Inter"/>
                <w:b/>
                <w:bCs/>
              </w:rPr>
              <w:t xml:space="preserve">convention de partenariat</w:t>
            </w:r>
            <w:r>
              <w:rPr>
                <w:rFonts w:ascii="Inter" w:cs="Inter" w:eastAsia="Inter" w:hAnsi="Inter"/>
              </w:rPr>
              <w:t xml:space="preserve">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[à signer et à joindre]</w:t>
            </w:r>
            <w:r>
              <w:rPr>
                <w:rFonts w:ascii="Inter" w:cs="Inter" w:eastAsia="Inter" w:hAnsi="Inter"/>
              </w:rPr>
              <w:t xml:space="preserve">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Résultats et appréciations sont des données personnelles : accès limité à l’apprenti, à ses formateurs, à son employeur (pour ce qui le concerne) et, pour les mineurs, aux représentants légaux. Durée de conservation :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[à fixer selon les exigences du certificateur]</w:t>
            </w:r>
            <w:r>
              <w:rPr>
                <w:rFonts w:ascii="Inter" w:cs="Inter" w:eastAsia="Inter" w:hAnsi="Inter"/>
              </w:rPr>
              <w:t xml:space="preserve">.</w:t>
            </w:r>
          </w:p>
          <w:p>
            <w:pPr>
              <w:spacing w:after="50"/>
            </w:pPr>
            <w:r>
              <w:rPr>
                <w:rFonts w:ascii="Inter" w:cs="Inter" w:eastAsia="Inter" w:hAnsi="Inter"/>
                <w:b/>
                <w:bCs/>
              </w:rPr>
              <w:t xml:space="preserve">IA Act</w:t>
            </w:r>
            <w:r>
              <w:rPr>
                <w:rFonts w:ascii="Inter" w:cs="Inter" w:eastAsia="Inter" w:hAnsi="Inter"/>
              </w:rPr>
              <w:t xml:space="preserve"> — Aucun système d’IA n’est utilisé pour noter ou évaluer les apprentis. Un système d’IA destiné à </w:t>
            </w:r>
            <w:r>
              <w:rPr>
                <w:rFonts w:ascii="Inter" w:cs="Inter" w:eastAsia="Inter" w:hAnsi="Inter"/>
                <w:b/>
                <w:bCs/>
              </w:rPr>
              <w:t xml:space="preserve">évaluer les acquis d’apprentissage</w:t>
            </w:r>
            <w:r>
              <w:rPr>
                <w:rFonts w:ascii="Inter" w:cs="Inter" w:eastAsia="Inter" w:hAnsi="Inter"/>
              </w:rPr>
              <w:t xml:space="preserve"> relève des systèmes à </w:t>
            </w:r>
            <w:r>
              <w:rPr>
                <w:rFonts w:ascii="Inter" w:cs="Inter" w:eastAsia="Inter" w:hAnsi="Inter"/>
                <w:b/>
                <w:bCs/>
              </w:rPr>
              <w:t xml:space="preserve">haut risque</w:t>
            </w:r>
            <w:r>
              <w:rPr>
                <w:rFonts w:ascii="Inter" w:cs="Inter" w:eastAsia="Inter" w:hAnsi="Inter"/>
              </w:rPr>
              <w:t xml:space="preserve"> (annexe III, point 3, « éducation et formation professionnelle »). Si des quiz sont créés avec l’aide d’une IA, leur contenu est relu et validé par un formateur, et la notation reste humaine.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06 — Notice — Modalités et périodicité d’évaluation des compétences acquises par les apprentis</dc:title>
  <dc:creator>Aurélien LUMEKA</dc:creator>
  <cp:lastModifiedBy>Un-named</cp:lastModifiedBy>
  <cp:revision>1</cp:revision>
  <dcterms:created xsi:type="dcterms:W3CDTF">2026-10-28T13:11:09.701Z</dcterms:created>
  <dcterms:modified xsi:type="dcterms:W3CDTF">2026-10-28T13:11:09.701Z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