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Montserrat" w:cs="Montserrat" w:eastAsia="Montserrat" w:hAnsi="Montserrat"/>
          <w:b/>
          <w:bCs/>
          <w:color w:val="1B3A6B"/>
          <w:sz w:val="40"/>
          <w:szCs w:val="40"/>
        </w:rPr>
        <w:t xml:space="preserve">YEBA</w:t>
      </w:r>
      <w:r>
        <w:rPr>
          <w:rFonts w:ascii="Montserrat" w:cs="Montserrat" w:eastAsia="Montserrat" w:hAnsi="Montserrat"/>
          <w:b/>
          <w:bCs/>
          <w:color w:val="C9AB4C"/>
          <w:sz w:val="40"/>
          <w:szCs w:val="40"/>
        </w:rPr>
        <w:t xml:space="preserve">  FORMATIONS</w:t>
      </w:r>
    </w:p>
    <w:p>
      <w:pPr>
        <w:pBdr>
          <w:bottom w:val="single" w:color="C9AB4C" w:sz="12" w:space="6"/>
        </w:pBdr>
        <w:spacing w:after="240"/>
      </w:pPr>
      <w:r>
        <w:rPr>
          <w:rFonts w:ascii="Inter" w:cs="Inter" w:eastAsia="Inter" w:hAnsi="Inter"/>
          <w:color w:val="4D4D4D"/>
          <w:sz w:val="20"/>
          <w:szCs w:val="20"/>
        </w:rPr>
        <w:t xml:space="preserve">Organisme de formation — Extension de la déclaration d’activité à la formation par apprentissage</w:t>
      </w:r>
    </w:p>
    <w:p>
      <w:pPr>
        <w:spacing w:after="60"/>
      </w:pPr>
      <w:r>
        <w:rPr>
          <w:rFonts w:ascii="Montserrat" w:cs="Montserrat" w:eastAsia="Montserrat" w:hAnsi="Montserrat"/>
          <w:b/>
          <w:bCs/>
          <w:color w:val="4D4D4D"/>
          <w:sz w:val="24"/>
          <w:szCs w:val="24"/>
        </w:rPr>
        <w:t xml:space="preserve">Pièce n° 07</w:t>
      </w:r>
    </w:p>
    <w:p>
      <w:pPr>
        <w:spacing w:after="160"/>
      </w:pPr>
      <w:r>
        <w:rPr>
          <w:rFonts w:ascii="Montserrat" w:cs="Montserrat" w:eastAsia="Montserrat" w:hAnsi="Montserrat"/>
          <w:b/>
          <w:bCs/>
          <w:color w:val="1B3A6B"/>
          <w:sz w:val="32"/>
          <w:szCs w:val="32"/>
        </w:rPr>
        <w:t xml:space="preserve">Notice — Suivi des apprentis auprès de leur employeur et contrôle de l’adéquation entre la formation au CFA et en entreprise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Information</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Destinataire</w:t>
            </w:r>
          </w:p>
        </w:tc>
        <w:tc>
          <w:tcPr>
            <w:tcW w:type="dxa" w:w="7038"/>
            <w:tcMar>
              <w:top w:type="dxa" w:w="60"/>
              <w:left w:type="dxa" w:w="90"/>
              <w:bottom w:type="dxa" w:w="60"/>
              <w:right w:type="dxa" w:w="90"/>
            </w:tcMar>
          </w:tcPr>
          <w:p>
            <w:pPr>
              <w:spacing w:after="40"/>
            </w:pPr>
            <w:r>
              <w:rPr>
                <w:rFonts w:ascii="Inter" w:cs="Inter" w:eastAsia="Inter" w:hAnsi="Inter"/>
              </w:rPr>
              <w:t xml:space="preserve">DEETS La Réunion — Service de contrôle de la formation professionnelle</w:t>
            </w:r>
          </w:p>
        </w:tc>
      </w:tr>
      <w:tr>
        <w:trPr>
          <w:cantSplit/>
        </w:trPr>
        <w:tc>
          <w:tcPr>
            <w:tcW w:type="dxa" w:w="2600"/>
            <w:shd w:fill="EEF1F6" w:color="auto" w:val="clear"/>
            <w:tcMar>
              <w:top w:type="dxa" w:w="60"/>
              <w:left w:type="dxa" w:w="90"/>
              <w:bottom w:type="dxa" w:w="60"/>
              <w:right w:type="dxa" w:w="90"/>
            </w:tcMar>
          </w:tcPr>
          <w:p>
            <w:pPr>
              <w:spacing w:after="40"/>
            </w:pPr>
            <w:r>
              <w:rPr>
                <w:rFonts w:ascii="Inter" w:cs="Inter" w:eastAsia="Inter" w:hAnsi="Inter"/>
              </w:rPr>
              <w:t xml:space="preserve">Référence</w:t>
            </w:r>
          </w:p>
        </w:tc>
        <w:tc>
          <w:tcPr>
            <w:tcW w:type="dxa" w:w="7038"/>
            <w:shd w:fill="EEF1F6" w:color="auto" w:val="clear"/>
            <w:tcMar>
              <w:top w:type="dxa" w:w="60"/>
              <w:left w:type="dxa" w:w="90"/>
              <w:bottom w:type="dxa" w:w="60"/>
              <w:right w:type="dxa" w:w="90"/>
            </w:tcMar>
          </w:tcPr>
          <w:p>
            <w:pPr>
              <w:spacing w:after="40"/>
            </w:pPr>
            <w:r>
              <w:rPr>
                <w:rFonts w:ascii="Inter" w:cs="Inter" w:eastAsia="Inter" w:hAnsi="Inter"/>
              </w:rPr>
              <w:t xml:space="preserve">Courriel de la DEETS du 20 octobre 2026 — instruction au titre de l’article L.6351-5 du Code du travail</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Objet de la pièce</w:t>
            </w:r>
          </w:p>
        </w:tc>
        <w:tc>
          <w:tcPr>
            <w:tcW w:type="dxa" w:w="7038"/>
            <w:tcMar>
              <w:top w:type="dxa" w:w="60"/>
              <w:left w:type="dxa" w:w="90"/>
              <w:bottom w:type="dxa" w:w="60"/>
              <w:right w:type="dxa" w:w="90"/>
            </w:tcMar>
          </w:tcPr>
          <w:p>
            <w:pPr>
              <w:spacing w:after="40"/>
            </w:pPr>
            <w:r>
              <w:rPr>
                <w:rFonts w:ascii="Inter" w:cs="Inter" w:eastAsia="Inter" w:hAnsi="Inter"/>
              </w:rPr>
              <w:t xml:space="preserve">Descriptif exhaustif des modalités et de la périodicité du suivi en entreprise, et des outils garantissant la cohérence entre les deux lieux de formation.</w:t>
            </w:r>
          </w:p>
        </w:tc>
      </w:tr>
      <w:tr>
        <w:trPr>
          <w:cantSplit/>
        </w:trPr>
        <w:tc>
          <w:tcPr>
            <w:tcW w:type="dxa" w:w="2600"/>
            <w:shd w:fill="EEF1F6" w:color="auto" w:val="clear"/>
            <w:tcMar>
              <w:top w:type="dxa" w:w="60"/>
              <w:left w:type="dxa" w:w="90"/>
              <w:bottom w:type="dxa" w:w="60"/>
              <w:right w:type="dxa" w:w="90"/>
            </w:tcMar>
          </w:tcPr>
          <w:p>
            <w:pPr>
              <w:spacing w:after="40"/>
            </w:pPr>
            <w:r>
              <w:rPr>
                <w:rFonts w:ascii="Inter" w:cs="Inter" w:eastAsia="Inter" w:hAnsi="Inter"/>
              </w:rPr>
              <w:t xml:space="preserve">Organisme</w:t>
            </w:r>
          </w:p>
        </w:tc>
        <w:tc>
          <w:tcPr>
            <w:tcW w:type="dxa" w:w="7038"/>
            <w:shd w:fill="EEF1F6" w:color="auto" w:val="clear"/>
            <w:tcMar>
              <w:top w:type="dxa" w:w="60"/>
              <w:left w:type="dxa" w:w="90"/>
              <w:bottom w:type="dxa" w:w="60"/>
              <w:right w:type="dxa" w:w="90"/>
            </w:tcMar>
          </w:tcPr>
          <w:p>
            <w:pPr>
              <w:spacing w:after="40"/>
            </w:pPr>
            <w:r>
              <w:rPr>
                <w:rFonts w:ascii="Inter" w:cs="Inter" w:eastAsia="Inter" w:hAnsi="Inter"/>
              </w:rPr>
              <w:t xml:space="preserve">YEBA FORMATIONS — SIRET 814 622 262 00032 — NDA 04973676397 — UAI 9742022E</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Lieu de formation</w:t>
            </w:r>
          </w:p>
        </w:tc>
        <w:tc>
          <w:tcPr>
            <w:tcW w:type="dxa" w:w="7038"/>
            <w:tcMar>
              <w:top w:type="dxa" w:w="60"/>
              <w:left w:type="dxa" w:w="90"/>
              <w:bottom w:type="dxa" w:w="60"/>
              <w:right w:type="dxa" w:w="90"/>
            </w:tcMar>
          </w:tcPr>
          <w:p>
            <w:pPr>
              <w:spacing w:after="40"/>
            </w:pPr>
            <w:r>
              <w:rPr>
                <w:rFonts w:ascii="Inter" w:cs="Inter" w:eastAsia="Inter" w:hAnsi="Inter"/>
              </w:rPr>
              <w:t xml:space="preserve">7 rue Henri Cornu, Immeuble Rodrigue 2, Technopole Réunion / Technor, 97490 Sainte-Clotilde (Saint-Denis)</w:t>
            </w:r>
          </w:p>
        </w:tc>
      </w:tr>
      <w:tr>
        <w:trPr>
          <w:cantSplit/>
        </w:trPr>
        <w:tc>
          <w:tcPr>
            <w:tcW w:type="dxa" w:w="2600"/>
            <w:shd w:fill="EEF1F6" w:color="auto" w:val="clear"/>
            <w:tcMar>
              <w:top w:type="dxa" w:w="60"/>
              <w:left w:type="dxa" w:w="90"/>
              <w:bottom w:type="dxa" w:w="60"/>
              <w:right w:type="dxa" w:w="90"/>
            </w:tcMar>
          </w:tcPr>
          <w:p>
            <w:pPr>
              <w:spacing w:after="40"/>
            </w:pPr>
            <w:r>
              <w:rPr>
                <w:rFonts w:ascii="Inter" w:cs="Inter" w:eastAsia="Inter" w:hAnsi="Inter"/>
              </w:rPr>
              <w:t xml:space="preserve">Certification Qualiopi</w:t>
            </w:r>
          </w:p>
        </w:tc>
        <w:tc>
          <w:tcPr>
            <w:tcW w:type="dxa" w:w="7038"/>
            <w:shd w:fill="EEF1F6" w:color="auto" w:val="clear"/>
            <w:tcMar>
              <w:top w:type="dxa" w:w="60"/>
              <w:left w:type="dxa" w:w="90"/>
              <w:bottom w:type="dxa" w:w="60"/>
              <w:right w:type="dxa" w:w="90"/>
            </w:tcMar>
          </w:tcPr>
          <w:p>
            <w:pPr>
              <w:spacing w:after="40"/>
            </w:pPr>
            <w:r>
              <w:rPr>
                <w:rFonts w:ascii="Inter" w:cs="Inter" w:eastAsia="Inter" w:hAnsi="Inter"/>
              </w:rPr>
              <w:t xml:space="preserve">n° 25FOR02027.1 (actions de formation). Extension à la catégorie « actions de formation par apprentissage » engagée : l’audit d’extension sera réalisé dès l’entrée en formation du premier apprenti (courriel de l’organisme certificateur du 14/10/2026).</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Responsable</w:t>
            </w:r>
          </w:p>
        </w:tc>
        <w:tc>
          <w:tcPr>
            <w:tcW w:type="dxa" w:w="7038"/>
            <w:tcMar>
              <w:top w:type="dxa" w:w="60"/>
              <w:left w:type="dxa" w:w="90"/>
              <w:bottom w:type="dxa" w:w="60"/>
              <w:right w:type="dxa" w:w="90"/>
            </w:tcMar>
          </w:tcPr>
          <w:p>
            <w:pPr>
              <w:spacing w:after="40"/>
            </w:pPr>
            <w:r>
              <w:rPr>
                <w:rFonts w:ascii="Inter" w:cs="Inter" w:eastAsia="Inter" w:hAnsi="Inter"/>
              </w:rPr>
              <w:t xml:space="preserve">Aurélien LUMEKA, Directeur</w:t>
            </w:r>
          </w:p>
        </w:tc>
      </w:tr>
      <w:tr>
        <w:trPr>
          <w:cantSplit/>
        </w:trPr>
        <w:tc>
          <w:tcPr>
            <w:tcW w:type="dxa" w:w="2600"/>
            <w:shd w:fill="EEF1F6" w:color="auto" w:val="clear"/>
            <w:tcMar>
              <w:top w:type="dxa" w:w="60"/>
              <w:left w:type="dxa" w:w="90"/>
              <w:bottom w:type="dxa" w:w="60"/>
              <w:right w:type="dxa" w:w="90"/>
            </w:tcMar>
          </w:tcPr>
          <w:p>
            <w:pPr>
              <w:spacing w:after="40"/>
            </w:pPr>
            <w:r>
              <w:rPr>
                <w:rFonts w:ascii="Inter" w:cs="Inter" w:eastAsia="Inter" w:hAnsi="Inter"/>
              </w:rPr>
              <w:t xml:space="preserve">Version</w:t>
            </w:r>
          </w:p>
        </w:tc>
        <w:tc>
          <w:tcPr>
            <w:tcW w:type="dxa" w:w="7038"/>
            <w:shd w:fill="EEF1F6" w:color="auto" w:val="clear"/>
            <w:tcMar>
              <w:top w:type="dxa" w:w="60"/>
              <w:left w:type="dxa" w:w="90"/>
              <w:bottom w:type="dxa" w:w="60"/>
              <w:right w:type="dxa" w:w="90"/>
            </w:tcMar>
          </w:tcPr>
          <w:p>
            <w:pPr>
              <w:spacing w:after="40"/>
            </w:pPr>
            <w:r>
              <w:rPr>
                <w:rFonts w:ascii="Inter" w:cs="Inter" w:eastAsia="Inter" w:hAnsi="Inter"/>
              </w:rPr>
              <w:t xml:space="preserve">Version 2 du 28/10/2026</w:t>
            </w:r>
          </w:p>
        </w:tc>
      </w:tr>
    </w:tbl>
    <w:p>
      <w:pPr>
        <w:spacing w:after="80"/>
      </w:pPr>
    </w:p>
    <w:p>
      <w:pPr>
        <w:pStyle w:val="Heading1"/>
        <w:keepNext/>
        <w:spacing w:after="140" w:before="300"/>
      </w:pPr>
      <w:r>
        <w:rPr>
          <w:rFonts w:ascii="Montserrat" w:cs="Montserrat" w:eastAsia="Montserrat" w:hAnsi="Montserrat"/>
        </w:rPr>
        <w:t xml:space="preserve">1. Objectif</w:t>
      </w:r>
    </w:p>
    <w:p>
      <w:pPr>
        <w:spacing w:after="120" w:line="288"/>
        <w:jc w:val="both"/>
      </w:pPr>
      <w:r>
        <w:rPr>
          <w:rFonts w:ascii="Inter" w:cs="Inter" w:eastAsia="Inter" w:hAnsi="Inter"/>
        </w:rPr>
        <w:t xml:space="preserve">L’article L.6231-2 du Code du travail charge le CFA d’assurer la cohérence entre la formation dispensée en son sein et celle dispensée au sein de l’entreprise, en organisant notamment la coopération entre les formateurs et les maîtres d’apprentissage. YEBA FORMATIONS désigne pour chaque apprenti un </w:t>
      </w:r>
      <w:r>
        <w:rPr>
          <w:rFonts w:ascii="Inter" w:cs="Inter" w:eastAsia="Inter" w:hAnsi="Inter"/>
          <w:b/>
          <w:bCs/>
        </w:rPr>
        <w:t xml:space="preserve">formateur référent</w:t>
      </w:r>
      <w:r>
        <w:rPr>
          <w:rFonts w:ascii="Inter" w:cs="Inter" w:eastAsia="Inter" w:hAnsi="Inter"/>
        </w:rPr>
        <w:t xml:space="preserve">, interlocuteur du maître d’apprentissage pendant toute la durée du contrat.</w:t>
      </w:r>
    </w:p>
    <w:p>
      <w:pPr>
        <w:pStyle w:val="Heading1"/>
        <w:keepNext/>
        <w:spacing w:after="140" w:before="300"/>
      </w:pPr>
      <w:r>
        <w:rPr>
          <w:rFonts w:ascii="Montserrat" w:cs="Montserrat" w:eastAsia="Montserrat" w:hAnsi="Montserrat"/>
        </w:rPr>
        <w:t xml:space="preserve">2. Calendrier de suivi</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00"/>
        <w:gridCol w:w="2200"/>
        <w:gridCol w:w="3600"/>
        <w:gridCol w:w="1938"/>
      </w:tblGrid>
      <w:tr>
        <w:trPr>
          <w:tblHeader/>
        </w:trPr>
        <w:tc>
          <w:tcPr>
            <w:tcW w:type="dxa" w:w="19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Moment</w:t>
            </w:r>
          </w:p>
        </w:tc>
        <w:tc>
          <w:tcPr>
            <w:tcW w:type="dxa" w:w="22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Modalité</w:t>
            </w:r>
          </w:p>
        </w:tc>
        <w:tc>
          <w:tcPr>
            <w:tcW w:type="dxa" w:w="36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Contenu</w:t>
            </w:r>
          </w:p>
        </w:tc>
        <w:tc>
          <w:tcPr>
            <w:tcW w:type="dxa" w:w="1938"/>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Trace</w:t>
            </w:r>
          </w:p>
        </w:tc>
      </w:tr>
      <w:tr>
        <w:trPr>
          <w:cantSplit/>
        </w:trPr>
        <w:tc>
          <w:tcPr>
            <w:tcW w:type="dxa" w:w="1900"/>
            <w:tcMar>
              <w:top w:type="dxa" w:w="60"/>
              <w:left w:type="dxa" w:w="90"/>
              <w:bottom w:type="dxa" w:w="60"/>
              <w:right w:type="dxa" w:w="90"/>
            </w:tcMar>
          </w:tcPr>
          <w:p>
            <w:pPr>
              <w:spacing w:after="40"/>
            </w:pPr>
            <w:r>
              <w:rPr>
                <w:rFonts w:ascii="Inter" w:cs="Inter" w:eastAsia="Inter" w:hAnsi="Inter"/>
              </w:rPr>
              <w:t xml:space="preserve">Avant la signature</w:t>
            </w:r>
          </w:p>
        </w:tc>
        <w:tc>
          <w:tcPr>
            <w:tcW w:type="dxa" w:w="2200"/>
            <w:tcMar>
              <w:top w:type="dxa" w:w="60"/>
              <w:left w:type="dxa" w:w="90"/>
              <w:bottom w:type="dxa" w:w="60"/>
              <w:right w:type="dxa" w:w="90"/>
            </w:tcMar>
          </w:tcPr>
          <w:p>
            <w:pPr>
              <w:spacing w:after="40"/>
            </w:pPr>
            <w:r>
              <w:rPr>
                <w:rFonts w:ascii="Inter" w:cs="Inter" w:eastAsia="Inter" w:hAnsi="Inter"/>
              </w:rPr>
              <w:t xml:space="preserve">Échange avec l’employeur</w:t>
            </w:r>
          </w:p>
        </w:tc>
        <w:tc>
          <w:tcPr>
            <w:tcW w:type="dxa" w:w="3600"/>
            <w:tcMar>
              <w:top w:type="dxa" w:w="60"/>
              <w:left w:type="dxa" w:w="90"/>
              <w:bottom w:type="dxa" w:w="60"/>
              <w:right w:type="dxa" w:w="90"/>
            </w:tcMar>
          </w:tcPr>
          <w:p>
            <w:pPr>
              <w:spacing w:after="40"/>
            </w:pPr>
            <w:r>
              <w:rPr>
                <w:rFonts w:ascii="Inter" w:cs="Inter" w:eastAsia="Inter" w:hAnsi="Inter"/>
              </w:rPr>
              <w:t xml:space="preserve">Vérification que les missions confiées permettent d’acquérir les compétences du référentiel ; désignation du maître d’apprentissage</w:t>
            </w:r>
          </w:p>
        </w:tc>
        <w:tc>
          <w:tcPr>
            <w:tcW w:type="dxa" w:w="1938"/>
            <w:tcMar>
              <w:top w:type="dxa" w:w="60"/>
              <w:left w:type="dxa" w:w="90"/>
              <w:bottom w:type="dxa" w:w="60"/>
              <w:right w:type="dxa" w:w="90"/>
            </w:tcMar>
          </w:tcPr>
          <w:p>
            <w:pPr>
              <w:spacing w:after="40"/>
            </w:pPr>
            <w:r>
              <w:rPr>
                <w:rFonts w:ascii="Inter" w:cs="Inter" w:eastAsia="Inter" w:hAnsi="Inter"/>
              </w:rPr>
              <w:t xml:space="preserve">Fiche « Adéquation poste / référentiel »</w:t>
            </w:r>
          </w:p>
        </w:tc>
      </w:tr>
      <w:tr>
        <w:trPr>
          <w:cantSplit/>
        </w:trPr>
        <w:tc>
          <w:tcPr>
            <w:tcW w:type="dxa" w:w="1900"/>
            <w:shd w:fill="EEF1F6" w:color="auto" w:val="clear"/>
            <w:tcMar>
              <w:top w:type="dxa" w:w="60"/>
              <w:left w:type="dxa" w:w="90"/>
              <w:bottom w:type="dxa" w:w="60"/>
              <w:right w:type="dxa" w:w="90"/>
            </w:tcMar>
          </w:tcPr>
          <w:p>
            <w:pPr>
              <w:spacing w:after="40"/>
            </w:pPr>
            <w:r>
              <w:rPr>
                <w:rFonts w:ascii="Inter" w:cs="Inter" w:eastAsia="Inter" w:hAnsi="Inter"/>
              </w:rPr>
              <w:t xml:space="preserve">Semaine 1 à 2</w:t>
            </w:r>
          </w:p>
        </w:tc>
        <w:tc>
          <w:tcPr>
            <w:tcW w:type="dxa" w:w="2200"/>
            <w:shd w:fill="EEF1F6" w:color="auto" w:val="clear"/>
            <w:tcMar>
              <w:top w:type="dxa" w:w="60"/>
              <w:left w:type="dxa" w:w="90"/>
              <w:bottom w:type="dxa" w:w="60"/>
              <w:right w:type="dxa" w:w="90"/>
            </w:tcMar>
          </w:tcPr>
          <w:p>
            <w:pPr>
              <w:spacing w:after="40"/>
            </w:pPr>
            <w:r>
              <w:rPr>
                <w:rFonts w:ascii="Inter" w:cs="Inter" w:eastAsia="Inter" w:hAnsi="Inter"/>
              </w:rPr>
              <w:t xml:space="preserve">Appel au maître d’apprentissage</w:t>
            </w:r>
          </w:p>
        </w:tc>
        <w:tc>
          <w:tcPr>
            <w:tcW w:type="dxa" w:w="3600"/>
            <w:shd w:fill="EEF1F6" w:color="auto" w:val="clear"/>
            <w:tcMar>
              <w:top w:type="dxa" w:w="60"/>
              <w:left w:type="dxa" w:w="90"/>
              <w:bottom w:type="dxa" w:w="60"/>
              <w:right w:type="dxa" w:w="90"/>
            </w:tcMar>
          </w:tcPr>
          <w:p>
            <w:pPr>
              <w:spacing w:after="40"/>
            </w:pPr>
            <w:r>
              <w:rPr>
                <w:rFonts w:ascii="Inter" w:cs="Inter" w:eastAsia="Inter" w:hAnsi="Inter"/>
              </w:rPr>
              <w:t xml:space="preserve">Accueil, intégration, planning d’alternance</w:t>
            </w:r>
          </w:p>
        </w:tc>
        <w:tc>
          <w:tcPr>
            <w:tcW w:type="dxa" w:w="1938"/>
            <w:shd w:fill="EEF1F6" w:color="auto" w:val="clear"/>
            <w:tcMar>
              <w:top w:type="dxa" w:w="60"/>
              <w:left w:type="dxa" w:w="90"/>
              <w:bottom w:type="dxa" w:w="60"/>
              <w:right w:type="dxa" w:w="90"/>
            </w:tcMar>
          </w:tcPr>
          <w:p>
            <w:pPr>
              <w:spacing w:after="40"/>
            </w:pPr>
            <w:r>
              <w:rPr>
                <w:rFonts w:ascii="Inter" w:cs="Inter" w:eastAsia="Inter" w:hAnsi="Inter"/>
              </w:rPr>
              <w:t xml:space="preserve">Compte rendu court</w:t>
            </w:r>
          </w:p>
        </w:tc>
      </w:tr>
      <w:tr>
        <w:trPr>
          <w:cantSplit/>
        </w:trPr>
        <w:tc>
          <w:tcPr>
            <w:tcW w:type="dxa" w:w="1900"/>
            <w:tcMar>
              <w:top w:type="dxa" w:w="60"/>
              <w:left w:type="dxa" w:w="90"/>
              <w:bottom w:type="dxa" w:w="60"/>
              <w:right w:type="dxa" w:w="90"/>
            </w:tcMar>
          </w:tcPr>
          <w:p>
            <w:pPr>
              <w:spacing w:after="40"/>
            </w:pPr>
            <w:r>
              <w:rPr>
                <w:rFonts w:ascii="Inter" w:cs="Inter" w:eastAsia="Inter" w:hAnsi="Inter"/>
              </w:rPr>
              <w:t xml:space="preserve">Avant la fin des 45 jours</w:t>
            </w:r>
          </w:p>
        </w:tc>
        <w:tc>
          <w:tcPr>
            <w:tcW w:type="dxa" w:w="2200"/>
            <w:tcMar>
              <w:top w:type="dxa" w:w="60"/>
              <w:left w:type="dxa" w:w="90"/>
              <w:bottom w:type="dxa" w:w="60"/>
              <w:right w:type="dxa" w:w="90"/>
            </w:tcMar>
          </w:tcPr>
          <w:p>
            <w:pPr>
              <w:spacing w:after="40"/>
            </w:pPr>
            <w:r>
              <w:rPr>
                <w:rFonts w:ascii="Inter" w:cs="Inter" w:eastAsia="Inter" w:hAnsi="Inter"/>
                <w:b/>
                <w:bCs/>
              </w:rPr>
              <w:t xml:space="preserve">Visite en entreprise</w:t>
            </w:r>
            <w:r>
              <w:rPr>
                <w:rFonts w:ascii="Inter" w:cs="Inter" w:eastAsia="Inter" w:hAnsi="Inter"/>
              </w:rPr>
              <w:t xml:space="preserve"> (présentiel)</w:t>
            </w:r>
          </w:p>
        </w:tc>
        <w:tc>
          <w:tcPr>
            <w:tcW w:type="dxa" w:w="3600"/>
            <w:tcMar>
              <w:top w:type="dxa" w:w="60"/>
              <w:left w:type="dxa" w:w="90"/>
              <w:bottom w:type="dxa" w:w="60"/>
              <w:right w:type="dxa" w:w="90"/>
            </w:tcMar>
          </w:tcPr>
          <w:p>
            <w:pPr>
              <w:spacing w:after="40"/>
            </w:pPr>
            <w:r>
              <w:rPr>
                <w:rFonts w:ascii="Inter" w:cs="Inter" w:eastAsia="Inter" w:hAnsi="Inter"/>
              </w:rPr>
              <w:t xml:space="preserve">Entretien tripartite : intégration, premières missions, difficultés éventuelles</w:t>
            </w:r>
          </w:p>
        </w:tc>
        <w:tc>
          <w:tcPr>
            <w:tcW w:type="dxa" w:w="1938"/>
            <w:tcMar>
              <w:top w:type="dxa" w:w="60"/>
              <w:left w:type="dxa" w:w="90"/>
              <w:bottom w:type="dxa" w:w="60"/>
              <w:right w:type="dxa" w:w="90"/>
            </w:tcMar>
          </w:tcPr>
          <w:p>
            <w:pPr>
              <w:spacing w:after="40"/>
            </w:pPr>
            <w:r>
              <w:rPr>
                <w:rFonts w:ascii="Inter" w:cs="Inter" w:eastAsia="Inter" w:hAnsi="Inter"/>
              </w:rPr>
              <w:t xml:space="preserve">Compte rendu de visite signé</w:t>
            </w:r>
          </w:p>
        </w:tc>
      </w:tr>
      <w:tr>
        <w:trPr>
          <w:cantSplit/>
        </w:trPr>
        <w:tc>
          <w:tcPr>
            <w:tcW w:type="dxa" w:w="1900"/>
            <w:shd w:fill="EEF1F6" w:color="auto" w:val="clear"/>
            <w:tcMar>
              <w:top w:type="dxa" w:w="60"/>
              <w:left w:type="dxa" w:w="90"/>
              <w:bottom w:type="dxa" w:w="60"/>
              <w:right w:type="dxa" w:w="90"/>
            </w:tcMar>
          </w:tcPr>
          <w:p>
            <w:pPr>
              <w:spacing w:after="40"/>
            </w:pPr>
            <w:r>
              <w:rPr>
                <w:rFonts w:ascii="Inter" w:cs="Inter" w:eastAsia="Inter" w:hAnsi="Inter"/>
              </w:rPr>
              <w:t xml:space="preserve">Chaque trimestre</w:t>
            </w:r>
          </w:p>
        </w:tc>
        <w:tc>
          <w:tcPr>
            <w:tcW w:type="dxa" w:w="2200"/>
            <w:shd w:fill="EEF1F6" w:color="auto" w:val="clear"/>
            <w:tcMar>
              <w:top w:type="dxa" w:w="60"/>
              <w:left w:type="dxa" w:w="90"/>
              <w:bottom w:type="dxa" w:w="60"/>
              <w:right w:type="dxa" w:w="90"/>
            </w:tcMar>
          </w:tcPr>
          <w:p>
            <w:pPr>
              <w:spacing w:after="40"/>
            </w:pPr>
            <w:r>
              <w:rPr>
                <w:rFonts w:ascii="Inter" w:cs="Inter" w:eastAsia="Inter" w:hAnsi="Inter"/>
              </w:rPr>
              <w:t xml:space="preserve">Point de suivi (visio ou téléphone)</w:t>
            </w:r>
          </w:p>
        </w:tc>
        <w:tc>
          <w:tcPr>
            <w:tcW w:type="dxa" w:w="3600"/>
            <w:shd w:fill="EEF1F6" w:color="auto" w:val="clear"/>
            <w:tcMar>
              <w:top w:type="dxa" w:w="60"/>
              <w:left w:type="dxa" w:w="90"/>
              <w:bottom w:type="dxa" w:w="60"/>
              <w:right w:type="dxa" w:w="90"/>
            </w:tcMar>
          </w:tcPr>
          <w:p>
            <w:pPr>
              <w:spacing w:after="40"/>
            </w:pPr>
            <w:r>
              <w:rPr>
                <w:rFonts w:ascii="Inter" w:cs="Inter" w:eastAsia="Inter" w:hAnsi="Inter"/>
              </w:rPr>
              <w:t xml:space="preserve">Progression, missions à venir, assiduité</w:t>
            </w:r>
          </w:p>
        </w:tc>
        <w:tc>
          <w:tcPr>
            <w:tcW w:type="dxa" w:w="1938"/>
            <w:shd w:fill="EEF1F6" w:color="auto" w:val="clear"/>
            <w:tcMar>
              <w:top w:type="dxa" w:w="60"/>
              <w:left w:type="dxa" w:w="90"/>
              <w:bottom w:type="dxa" w:w="60"/>
              <w:right w:type="dxa" w:w="90"/>
            </w:tcMar>
          </w:tcPr>
          <w:p>
            <w:pPr>
              <w:spacing w:after="40"/>
            </w:pPr>
            <w:r>
              <w:rPr>
                <w:rFonts w:ascii="Inter" w:cs="Inter" w:eastAsia="Inter" w:hAnsi="Inter"/>
              </w:rPr>
              <w:t xml:space="preserve">Mise à jour du livret</w:t>
            </w:r>
          </w:p>
        </w:tc>
      </w:tr>
      <w:tr>
        <w:trPr>
          <w:cantSplit/>
        </w:trPr>
        <w:tc>
          <w:tcPr>
            <w:tcW w:type="dxa" w:w="1900"/>
            <w:tcMar>
              <w:top w:type="dxa" w:w="60"/>
              <w:left w:type="dxa" w:w="90"/>
              <w:bottom w:type="dxa" w:w="60"/>
              <w:right w:type="dxa" w:w="90"/>
            </w:tcMar>
          </w:tcPr>
          <w:p>
            <w:pPr>
              <w:spacing w:after="40"/>
            </w:pPr>
            <w:r>
              <w:rPr>
                <w:rFonts w:ascii="Inter" w:cs="Inter" w:eastAsia="Inter" w:hAnsi="Inter"/>
              </w:rPr>
              <w:t xml:space="preserve">Mois 6</w:t>
            </w:r>
          </w:p>
        </w:tc>
        <w:tc>
          <w:tcPr>
            <w:tcW w:type="dxa" w:w="2200"/>
            <w:tcMar>
              <w:top w:type="dxa" w:w="60"/>
              <w:left w:type="dxa" w:w="90"/>
              <w:bottom w:type="dxa" w:w="60"/>
              <w:right w:type="dxa" w:w="90"/>
            </w:tcMar>
          </w:tcPr>
          <w:p>
            <w:pPr>
              <w:spacing w:after="40"/>
            </w:pPr>
            <w:r>
              <w:rPr>
                <w:rFonts w:ascii="Inter" w:cs="Inter" w:eastAsia="Inter" w:hAnsi="Inter"/>
                <w:b/>
                <w:bCs/>
              </w:rPr>
              <w:t xml:space="preserve">Deuxième visite en entreprise</w:t>
            </w:r>
          </w:p>
        </w:tc>
        <w:tc>
          <w:tcPr>
            <w:tcW w:type="dxa" w:w="3600"/>
            <w:tcMar>
              <w:top w:type="dxa" w:w="60"/>
              <w:left w:type="dxa" w:w="90"/>
              <w:bottom w:type="dxa" w:w="60"/>
              <w:right w:type="dxa" w:w="90"/>
            </w:tcMar>
          </w:tcPr>
          <w:p>
            <w:pPr>
              <w:spacing w:after="40"/>
            </w:pPr>
            <w:r>
              <w:rPr>
                <w:rFonts w:ascii="Inter" w:cs="Inter" w:eastAsia="Inter" w:hAnsi="Inter"/>
              </w:rPr>
              <w:t xml:space="preserve">Bilan intermédiaire des compétences, ajustement des missions</w:t>
            </w:r>
          </w:p>
        </w:tc>
        <w:tc>
          <w:tcPr>
            <w:tcW w:type="dxa" w:w="1938"/>
            <w:tcMar>
              <w:top w:type="dxa" w:w="60"/>
              <w:left w:type="dxa" w:w="90"/>
              <w:bottom w:type="dxa" w:w="60"/>
              <w:right w:type="dxa" w:w="90"/>
            </w:tcMar>
          </w:tcPr>
          <w:p>
            <w:pPr>
              <w:spacing w:after="40"/>
            </w:pPr>
            <w:r>
              <w:rPr>
                <w:rFonts w:ascii="Inter" w:cs="Inter" w:eastAsia="Inter" w:hAnsi="Inter"/>
              </w:rPr>
              <w:t xml:space="preserve">Compte rendu de visite signé</w:t>
            </w:r>
          </w:p>
        </w:tc>
      </w:tr>
      <w:tr>
        <w:trPr>
          <w:cantSplit/>
        </w:trPr>
        <w:tc>
          <w:tcPr>
            <w:tcW w:type="dxa" w:w="1900"/>
            <w:shd w:fill="EEF1F6" w:color="auto" w:val="clear"/>
            <w:tcMar>
              <w:top w:type="dxa" w:w="60"/>
              <w:left w:type="dxa" w:w="90"/>
              <w:bottom w:type="dxa" w:w="60"/>
              <w:right w:type="dxa" w:w="90"/>
            </w:tcMar>
          </w:tcPr>
          <w:p>
            <w:pPr>
              <w:spacing w:after="40"/>
            </w:pPr>
            <w:r>
              <w:rPr>
                <w:rFonts w:ascii="Inter" w:cs="Inter" w:eastAsia="Inter" w:hAnsi="Inter"/>
              </w:rPr>
              <w:t xml:space="preserve">Mois 10 à 11</w:t>
            </w:r>
          </w:p>
        </w:tc>
        <w:tc>
          <w:tcPr>
            <w:tcW w:type="dxa" w:w="2200"/>
            <w:shd w:fill="EEF1F6" w:color="auto" w:val="clear"/>
            <w:tcMar>
              <w:top w:type="dxa" w:w="60"/>
              <w:left w:type="dxa" w:w="90"/>
              <w:bottom w:type="dxa" w:w="60"/>
              <w:right w:type="dxa" w:w="90"/>
            </w:tcMar>
          </w:tcPr>
          <w:p>
            <w:pPr>
              <w:spacing w:after="40"/>
            </w:pPr>
            <w:r>
              <w:rPr>
                <w:rFonts w:ascii="Inter" w:cs="Inter" w:eastAsia="Inter" w:hAnsi="Inter"/>
              </w:rPr>
              <w:t xml:space="preserve">Point de préparation à la certification</w:t>
            </w:r>
          </w:p>
        </w:tc>
        <w:tc>
          <w:tcPr>
            <w:tcW w:type="dxa" w:w="3600"/>
            <w:shd w:fill="EEF1F6" w:color="auto" w:val="clear"/>
            <w:tcMar>
              <w:top w:type="dxa" w:w="60"/>
              <w:left w:type="dxa" w:w="90"/>
              <w:bottom w:type="dxa" w:w="60"/>
              <w:right w:type="dxa" w:w="90"/>
            </w:tcMar>
          </w:tcPr>
          <w:p>
            <w:pPr>
              <w:spacing w:after="40"/>
            </w:pPr>
            <w:r>
              <w:rPr>
                <w:rFonts w:ascii="Inter" w:cs="Inter" w:eastAsia="Inter" w:hAnsi="Inter"/>
              </w:rPr>
              <w:t xml:space="preserve">Situations professionnelles à mobiliser pour l’examen</w:t>
            </w:r>
          </w:p>
        </w:tc>
        <w:tc>
          <w:tcPr>
            <w:tcW w:type="dxa" w:w="1938"/>
            <w:shd w:fill="EEF1F6" w:color="auto" w:val="clear"/>
            <w:tcMar>
              <w:top w:type="dxa" w:w="60"/>
              <w:left w:type="dxa" w:w="90"/>
              <w:bottom w:type="dxa" w:w="60"/>
              <w:right w:type="dxa" w:w="90"/>
            </w:tcMar>
          </w:tcPr>
          <w:p>
            <w:pPr>
              <w:spacing w:after="40"/>
            </w:pPr>
            <w:r>
              <w:rPr>
                <w:rFonts w:ascii="Inter" w:cs="Inter" w:eastAsia="Inter" w:hAnsi="Inter"/>
              </w:rPr>
              <w:t xml:space="preserve">Mise à jour du livret</w:t>
            </w:r>
          </w:p>
        </w:tc>
      </w:tr>
      <w:tr>
        <w:trPr>
          <w:cantSplit/>
        </w:trPr>
        <w:tc>
          <w:tcPr>
            <w:tcW w:type="dxa" w:w="1900"/>
            <w:tcMar>
              <w:top w:type="dxa" w:w="60"/>
              <w:left w:type="dxa" w:w="90"/>
              <w:bottom w:type="dxa" w:w="60"/>
              <w:right w:type="dxa" w:w="90"/>
            </w:tcMar>
          </w:tcPr>
          <w:p>
            <w:pPr>
              <w:spacing w:after="40"/>
            </w:pPr>
            <w:r>
              <w:rPr>
                <w:rFonts w:ascii="Inter" w:cs="Inter" w:eastAsia="Inter" w:hAnsi="Inter"/>
              </w:rPr>
              <w:t xml:space="preserve">À tout moment</w:t>
            </w:r>
          </w:p>
        </w:tc>
        <w:tc>
          <w:tcPr>
            <w:tcW w:type="dxa" w:w="2200"/>
            <w:tcMar>
              <w:top w:type="dxa" w:w="60"/>
              <w:left w:type="dxa" w:w="90"/>
              <w:bottom w:type="dxa" w:w="60"/>
              <w:right w:type="dxa" w:w="90"/>
            </w:tcMar>
          </w:tcPr>
          <w:p>
            <w:pPr>
              <w:spacing w:after="40"/>
            </w:pPr>
            <w:r>
              <w:rPr>
                <w:rFonts w:ascii="Inter" w:cs="Inter" w:eastAsia="Inter" w:hAnsi="Inter"/>
              </w:rPr>
              <w:t xml:space="preserve">Visite ou entretien sur alerte</w:t>
            </w:r>
          </w:p>
        </w:tc>
        <w:tc>
          <w:tcPr>
            <w:tcW w:type="dxa" w:w="3600"/>
            <w:tcMar>
              <w:top w:type="dxa" w:w="60"/>
              <w:left w:type="dxa" w:w="90"/>
              <w:bottom w:type="dxa" w:w="60"/>
              <w:right w:type="dxa" w:w="90"/>
            </w:tcMar>
          </w:tcPr>
          <w:p>
            <w:pPr>
              <w:spacing w:after="40"/>
            </w:pPr>
            <w:r>
              <w:rPr>
                <w:rFonts w:ascii="Inter" w:cs="Inter" w:eastAsia="Inter" w:hAnsi="Inter"/>
              </w:rPr>
              <w:t xml:space="preserve">Conflit, absences, risque de rupture, accident</w:t>
            </w:r>
          </w:p>
        </w:tc>
        <w:tc>
          <w:tcPr>
            <w:tcW w:type="dxa" w:w="1938"/>
            <w:tcMar>
              <w:top w:type="dxa" w:w="60"/>
              <w:left w:type="dxa" w:w="90"/>
              <w:bottom w:type="dxa" w:w="60"/>
              <w:right w:type="dxa" w:w="90"/>
            </w:tcMar>
          </w:tcPr>
          <w:p>
            <w:pPr>
              <w:spacing w:after="40"/>
            </w:pPr>
            <w:r>
              <w:rPr>
                <w:rFonts w:ascii="Inter" w:cs="Inter" w:eastAsia="Inter" w:hAnsi="Inter"/>
              </w:rPr>
              <w:t xml:space="preserve">Fiche d’alerte et plan d’action</w:t>
            </w:r>
          </w:p>
        </w:tc>
      </w:tr>
    </w:tbl>
    <w:p>
      <w:pPr>
        <w:spacing w:after="80"/>
      </w:pPr>
    </w:p>
    <w:p>
      <w:pPr>
        <w:spacing w:after="120" w:line="288"/>
        <w:jc w:val="both"/>
      </w:pPr>
      <w:r>
        <w:rPr>
          <w:rFonts w:ascii="Inter" w:cs="Inter" w:eastAsia="Inter" w:hAnsi="Inter"/>
        </w:rPr>
        <w:t xml:space="preserve">Soit </w:t>
      </w:r>
      <w:r>
        <w:rPr>
          <w:rFonts w:ascii="Inter" w:cs="Inter" w:eastAsia="Inter" w:hAnsi="Inter"/>
          <w:b/>
          <w:bCs/>
        </w:rPr>
        <w:t xml:space="preserve">au minimum 2 visites en entreprise et 4 points de suivi par an</w:t>
      </w:r>
      <w:r>
        <w:rPr>
          <w:rFonts w:ascii="Inter" w:cs="Inter" w:eastAsia="Inter" w:hAnsi="Inter"/>
        </w:rPr>
        <w:t xml:space="preserve">, auxquels s’ajoutent les visites sur alerte. Pour un contrat de 24 mois, le cycle est reconduit la deuxième année.</w:t>
      </w:r>
    </w:p>
    <w:p>
      <w:pPr>
        <w:pStyle w:val="Heading1"/>
        <w:keepNext/>
        <w:spacing w:after="140" w:before="300"/>
      </w:pPr>
      <w:r>
        <w:rPr>
          <w:rFonts w:ascii="Montserrat" w:cs="Montserrat" w:eastAsia="Montserrat" w:hAnsi="Montserrat"/>
        </w:rPr>
        <w:t xml:space="preserve">3. Outils de coordination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200"/>
        <w:gridCol w:w="6438"/>
      </w:tblGrid>
      <w:tr>
        <w:trPr>
          <w:tblHeader/>
        </w:trPr>
        <w:tc>
          <w:tcPr>
            <w:tcW w:type="dxa" w:w="32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Outil</w:t>
            </w:r>
          </w:p>
        </w:tc>
        <w:tc>
          <w:tcPr>
            <w:tcW w:type="dxa" w:w="6438"/>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Usage</w:t>
            </w:r>
          </w:p>
        </w:tc>
      </w:tr>
      <w:tr>
        <w:trPr>
          <w:cantSplit/>
        </w:trPr>
        <w:tc>
          <w:tcPr>
            <w:tcW w:type="dxa" w:w="3200"/>
            <w:tcMar>
              <w:top w:type="dxa" w:w="60"/>
              <w:left w:type="dxa" w:w="90"/>
              <w:bottom w:type="dxa" w:w="60"/>
              <w:right w:type="dxa" w:w="90"/>
            </w:tcMar>
          </w:tcPr>
          <w:p>
            <w:pPr>
              <w:spacing w:after="40"/>
            </w:pPr>
            <w:r>
              <w:rPr>
                <w:rFonts w:ascii="Inter" w:cs="Inter" w:eastAsia="Inter" w:hAnsi="Inter"/>
              </w:rPr>
              <w:t xml:space="preserve">Livret d’apprentissage (numérique ou papier)</w:t>
            </w:r>
          </w:p>
        </w:tc>
        <w:tc>
          <w:tcPr>
            <w:tcW w:type="dxa" w:w="6438"/>
            <w:tcMar>
              <w:top w:type="dxa" w:w="60"/>
              <w:left w:type="dxa" w:w="90"/>
              <w:bottom w:type="dxa" w:w="60"/>
              <w:right w:type="dxa" w:w="90"/>
            </w:tcMar>
          </w:tcPr>
          <w:p>
            <w:pPr>
              <w:spacing w:after="40"/>
            </w:pPr>
            <w:r>
              <w:rPr>
                <w:rFonts w:ascii="Inter" w:cs="Inter" w:eastAsia="Inter" w:hAnsi="Inter"/>
              </w:rPr>
              <w:t xml:space="preserve">Planning d’alternance, progression pédagogique du CFA, tableau des compétences à mettre en œuvre en entreprise, observations du maître d’apprentissage, comptes rendus de visite</w:t>
            </w:r>
          </w:p>
        </w:tc>
      </w:tr>
      <w:tr>
        <w:trPr>
          <w:cantSplit/>
        </w:trPr>
        <w:tc>
          <w:tcPr>
            <w:tcW w:type="dxa" w:w="3200"/>
            <w:shd w:fill="EEF1F6" w:color="auto" w:val="clear"/>
            <w:tcMar>
              <w:top w:type="dxa" w:w="60"/>
              <w:left w:type="dxa" w:w="90"/>
              <w:bottom w:type="dxa" w:w="60"/>
              <w:right w:type="dxa" w:w="90"/>
            </w:tcMar>
          </w:tcPr>
          <w:p>
            <w:pPr>
              <w:spacing w:after="40"/>
            </w:pPr>
            <w:r>
              <w:rPr>
                <w:rFonts w:ascii="Inter" w:cs="Inter" w:eastAsia="Inter" w:hAnsi="Inter"/>
              </w:rPr>
              <w:t xml:space="preserve">Tableau de correspondance « modules / missions »</w:t>
            </w:r>
          </w:p>
        </w:tc>
        <w:tc>
          <w:tcPr>
            <w:tcW w:type="dxa" w:w="6438"/>
            <w:shd w:fill="EEF1F6" w:color="auto" w:val="clear"/>
            <w:tcMar>
              <w:top w:type="dxa" w:w="60"/>
              <w:left w:type="dxa" w:w="90"/>
              <w:bottom w:type="dxa" w:w="60"/>
              <w:right w:type="dxa" w:w="90"/>
            </w:tcMar>
          </w:tcPr>
          <w:p>
            <w:pPr>
              <w:spacing w:after="40"/>
            </w:pPr>
            <w:r>
              <w:rPr>
                <w:rFonts w:ascii="Inter" w:cs="Inter" w:eastAsia="Inter" w:hAnsi="Inter"/>
              </w:rPr>
              <w:t xml:space="preserve">Pour chaque séquence au CFA, liste des activités à réaliser en entreprise pendant la période suivante</w:t>
            </w:r>
          </w:p>
        </w:tc>
      </w:tr>
      <w:tr>
        <w:trPr>
          <w:cantSplit/>
        </w:trPr>
        <w:tc>
          <w:tcPr>
            <w:tcW w:type="dxa" w:w="3200"/>
            <w:tcMar>
              <w:top w:type="dxa" w:w="60"/>
              <w:left w:type="dxa" w:w="90"/>
              <w:bottom w:type="dxa" w:w="60"/>
              <w:right w:type="dxa" w:w="90"/>
            </w:tcMar>
          </w:tcPr>
          <w:p>
            <w:pPr>
              <w:spacing w:after="40"/>
            </w:pPr>
            <w:r>
              <w:rPr>
                <w:rFonts w:ascii="Inter" w:cs="Inter" w:eastAsia="Inter" w:hAnsi="Inter"/>
              </w:rPr>
              <w:t xml:space="preserve">Fiche navette mensuelle</w:t>
            </w:r>
          </w:p>
        </w:tc>
        <w:tc>
          <w:tcPr>
            <w:tcW w:type="dxa" w:w="6438"/>
            <w:tcMar>
              <w:top w:type="dxa" w:w="60"/>
              <w:left w:type="dxa" w:w="90"/>
              <w:bottom w:type="dxa" w:w="60"/>
              <w:right w:type="dxa" w:w="90"/>
            </w:tcMar>
          </w:tcPr>
          <w:p>
            <w:pPr>
              <w:spacing w:after="40"/>
            </w:pPr>
            <w:r>
              <w:rPr>
                <w:rFonts w:ascii="Inter" w:cs="Inter" w:eastAsia="Inter" w:hAnsi="Inter"/>
              </w:rPr>
              <w:t xml:space="preserve">Une page : missions réalisées, difficultés, besoins, signée par l’apprenti et le maître d’apprentissage</w:t>
            </w:r>
          </w:p>
        </w:tc>
      </w:tr>
      <w:tr>
        <w:trPr>
          <w:cantSplit/>
        </w:trPr>
        <w:tc>
          <w:tcPr>
            <w:tcW w:type="dxa" w:w="3200"/>
            <w:shd w:fill="EEF1F6" w:color="auto" w:val="clear"/>
            <w:tcMar>
              <w:top w:type="dxa" w:w="60"/>
              <w:left w:type="dxa" w:w="90"/>
              <w:bottom w:type="dxa" w:w="60"/>
              <w:right w:type="dxa" w:w="90"/>
            </w:tcMar>
          </w:tcPr>
          <w:p>
            <w:pPr>
              <w:spacing w:after="40"/>
            </w:pPr>
            <w:r>
              <w:rPr>
                <w:rFonts w:ascii="Inter" w:cs="Inter" w:eastAsia="Inter" w:hAnsi="Inter"/>
              </w:rPr>
              <w:t xml:space="preserve">Réunion des maîtres d’apprentissage</w:t>
            </w:r>
          </w:p>
        </w:tc>
        <w:tc>
          <w:tcPr>
            <w:tcW w:type="dxa" w:w="6438"/>
            <w:shd w:fill="EEF1F6" w:color="auto" w:val="clear"/>
            <w:tcMar>
              <w:top w:type="dxa" w:w="60"/>
              <w:left w:type="dxa" w:w="90"/>
              <w:bottom w:type="dxa" w:w="60"/>
              <w:right w:type="dxa" w:w="90"/>
            </w:tcMar>
          </w:tcPr>
          <w:p>
            <w:pPr>
              <w:spacing w:after="40"/>
            </w:pPr>
            <w:r>
              <w:rPr>
                <w:rFonts w:ascii="Inter" w:cs="Inter" w:eastAsia="Inter" w:hAnsi="Inter"/>
              </w:rPr>
              <w:t xml:space="preserve">Présentation du programme, retours d’expérience, formation (pièce n° 17) — 2 fois par an</w:t>
            </w:r>
          </w:p>
        </w:tc>
      </w:tr>
      <w:tr>
        <w:trPr>
          <w:cantSplit/>
        </w:trPr>
        <w:tc>
          <w:tcPr>
            <w:tcW w:type="dxa" w:w="3200"/>
            <w:tcMar>
              <w:top w:type="dxa" w:w="60"/>
              <w:left w:type="dxa" w:w="90"/>
              <w:bottom w:type="dxa" w:w="60"/>
              <w:right w:type="dxa" w:w="90"/>
            </w:tcMar>
          </w:tcPr>
          <w:p>
            <w:pPr>
              <w:spacing w:after="40"/>
            </w:pPr>
            <w:r>
              <w:rPr>
                <w:rFonts w:ascii="Inter" w:cs="Inter" w:eastAsia="Inter" w:hAnsi="Inter"/>
              </w:rPr>
              <w:t xml:space="preserve">Ligne directe</w:t>
            </w:r>
          </w:p>
        </w:tc>
        <w:tc>
          <w:tcPr>
            <w:tcW w:type="dxa" w:w="6438"/>
            <w:tcMar>
              <w:top w:type="dxa" w:w="60"/>
              <w:left w:type="dxa" w:w="90"/>
              <w:bottom w:type="dxa" w:w="60"/>
              <w:right w:type="dxa" w:w="90"/>
            </w:tcMar>
          </w:tcPr>
          <w:p>
            <w:pPr>
              <w:spacing w:after="40"/>
            </w:pPr>
            <w:r>
              <w:rPr>
                <w:rFonts w:ascii="Inter" w:cs="Inter" w:eastAsia="Inter" w:hAnsi="Inter"/>
              </w:rPr>
              <w:t xml:space="preserve">Contact du formateur référent : </w:t>
            </w:r>
            <w:r>
              <w:rPr>
                <w:rFonts w:ascii="Inter" w:cs="Inter" w:eastAsia="Inter" w:hAnsi="Inter"/>
                <w:b/>
                <w:bCs/>
                <w:highlight w:val="yellow"/>
                <w:highlightCs w:val="yellow"/>
              </w:rPr>
              <w:t xml:space="preserve">[téléphone, courriel]</w:t>
            </w:r>
            <w:r>
              <w:rPr>
                <w:rFonts w:ascii="Inter" w:cs="Inter" w:eastAsia="Inter" w:hAnsi="Inter"/>
              </w:rPr>
              <w:t xml:space="preserve"> ; réponse sous 48 heures ouvrées</w:t>
            </w:r>
          </w:p>
        </w:tc>
      </w:tr>
    </w:tbl>
    <w:p>
      <w:pPr>
        <w:spacing w:after="80"/>
      </w:pPr>
    </w:p>
    <w:p>
      <w:pPr>
        <w:pStyle w:val="Heading1"/>
        <w:keepNext/>
        <w:spacing w:after="140" w:before="300"/>
      </w:pPr>
      <w:r>
        <w:rPr>
          <w:rFonts w:ascii="Montserrat" w:cs="Montserrat" w:eastAsia="Montserrat" w:hAnsi="Montserrat"/>
        </w:rPr>
        <w:t xml:space="preserve">4. Contrôle de l’adéquation</w:t>
      </w:r>
    </w:p>
    <w:p>
      <w:pPr>
        <w:pStyle w:val="ListParagraph"/>
        <w:numPr>
          <w:ilvl w:val="0"/>
          <w:numId w:val="2"/>
        </w:numPr>
        <w:spacing w:after="60" w:line="276"/>
      </w:pPr>
      <w:r>
        <w:rPr>
          <w:rFonts w:ascii="Inter" w:cs="Inter" w:eastAsia="Inter" w:hAnsi="Inter"/>
          <w:b/>
          <w:bCs/>
        </w:rPr>
        <w:t xml:space="preserve">Contrôle a priori</w:t>
      </w:r>
      <w:r>
        <w:rPr>
          <w:rFonts w:ascii="Inter" w:cs="Inter" w:eastAsia="Inter" w:hAnsi="Inter"/>
        </w:rPr>
        <w:t xml:space="preserve"> : avant la signature, la fiche « Adéquation poste / référentiel » vérifie que le poste couvre les activités types de la certification. En cas d’écart, YEBA FORMATIONS propose des missions complémentaires ou refuse d’accompagner la signature.</w:t>
      </w:r>
    </w:p>
    <w:p>
      <w:pPr>
        <w:pStyle w:val="ListParagraph"/>
        <w:numPr>
          <w:ilvl w:val="0"/>
          <w:numId w:val="2"/>
        </w:numPr>
        <w:spacing w:after="60" w:line="276"/>
      </w:pPr>
      <w:r>
        <w:rPr>
          <w:rFonts w:ascii="Inter" w:cs="Inter" w:eastAsia="Inter" w:hAnsi="Inter"/>
          <w:b/>
          <w:bCs/>
        </w:rPr>
        <w:t xml:space="preserve">Contrôle en continu</w:t>
      </w:r>
      <w:r>
        <w:rPr>
          <w:rFonts w:ascii="Inter" w:cs="Inter" w:eastAsia="Inter" w:hAnsi="Inter"/>
        </w:rPr>
        <w:t xml:space="preserve"> : à chaque point de suivi, le formateur référent compare les activités réalisées au tableau de correspondance.</w:t>
      </w:r>
    </w:p>
    <w:p>
      <w:pPr>
        <w:pStyle w:val="ListParagraph"/>
        <w:numPr>
          <w:ilvl w:val="0"/>
          <w:numId w:val="2"/>
        </w:numPr>
        <w:spacing w:after="60" w:line="276"/>
      </w:pPr>
      <w:r>
        <w:rPr>
          <w:rFonts w:ascii="Inter" w:cs="Inter" w:eastAsia="Inter" w:hAnsi="Inter"/>
          <w:b/>
          <w:bCs/>
        </w:rPr>
        <w:t xml:space="preserve">Mesures correctrices</w:t>
      </w:r>
      <w:r>
        <w:rPr>
          <w:rFonts w:ascii="Inter" w:cs="Inter" w:eastAsia="Inter" w:hAnsi="Inter"/>
        </w:rPr>
        <w:t xml:space="preserve"> : si une compétence ne peut pas être exercée dans l’entreprise, il est proposé une mise en situation renforcée au CFA ou, avec l’accord des parties, une période dans une autre entreprise (dans les conditions prévues par le Code du travail — </w:t>
      </w:r>
      <w:r>
        <w:rPr>
          <w:rFonts w:ascii="Inter" w:cs="Inter" w:eastAsia="Inter" w:hAnsi="Inter"/>
          <w:b/>
          <w:bCs/>
          <w:highlight w:val="yellow"/>
          <w:highlightCs w:val="yellow"/>
        </w:rPr>
        <w:t xml:space="preserve">[à vérifier]</w:t>
      </w:r>
      <w:r>
        <w:rPr>
          <w:rFonts w:ascii="Inter" w:cs="Inter" w:eastAsia="Inter" w:hAnsi="Inter"/>
        </w:rPr>
        <w:t xml:space="preserve">).</w:t>
      </w:r>
    </w:p>
    <w:p>
      <w:pPr>
        <w:pStyle w:val="ListParagraph"/>
        <w:numPr>
          <w:ilvl w:val="0"/>
          <w:numId w:val="2"/>
        </w:numPr>
        <w:spacing w:after="60" w:line="276"/>
      </w:pPr>
      <w:r>
        <w:rPr>
          <w:rFonts w:ascii="Inter" w:cs="Inter" w:eastAsia="Inter" w:hAnsi="Inter"/>
          <w:b/>
          <w:bCs/>
        </w:rPr>
        <w:t xml:space="preserve">Escalade</w:t>
      </w:r>
      <w:r>
        <w:rPr>
          <w:rFonts w:ascii="Inter" w:cs="Inter" w:eastAsia="Inter" w:hAnsi="Inter"/>
        </w:rPr>
        <w:t xml:space="preserve"> : en cas de manquement grave et persistant de l’employeur à ses obligations de formation, YEBA FORMATIONS en informe l’apprenti, l’OPCO et, si nécessaire, les services de l’État compétents.</w:t>
      </w:r>
    </w:p>
    <w:p>
      <w:pPr>
        <w:pStyle w:val="Heading1"/>
        <w:keepNext/>
        <w:spacing w:after="140" w:before="300"/>
      </w:pPr>
      <w:r>
        <w:rPr>
          <w:rFonts w:ascii="Montserrat" w:cs="Montserrat" w:eastAsia="Montserrat" w:hAnsi="Montserrat"/>
        </w:rPr>
        <w:t xml:space="preserve">5. Indicateurs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6000"/>
        <w:gridCol w:w="3638"/>
      </w:tblGrid>
      <w:tr>
        <w:trPr>
          <w:tblHeader/>
        </w:trPr>
        <w:tc>
          <w:tcPr>
            <w:tcW w:type="dxa" w:w="60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Indicateur</w:t>
            </w:r>
          </w:p>
        </w:tc>
        <w:tc>
          <w:tcPr>
            <w:tcW w:type="dxa" w:w="3638"/>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Objectif interne</w:t>
            </w:r>
          </w:p>
        </w:tc>
      </w:tr>
      <w:tr>
        <w:trPr>
          <w:cantSplit/>
        </w:trPr>
        <w:tc>
          <w:tcPr>
            <w:tcW w:type="dxa" w:w="6000"/>
            <w:tcMar>
              <w:top w:type="dxa" w:w="60"/>
              <w:left w:type="dxa" w:w="90"/>
              <w:bottom w:type="dxa" w:w="60"/>
              <w:right w:type="dxa" w:w="90"/>
            </w:tcMar>
          </w:tcPr>
          <w:p>
            <w:pPr>
              <w:spacing w:after="40"/>
            </w:pPr>
            <w:r>
              <w:rPr>
                <w:rFonts w:ascii="Inter" w:cs="Inter" w:eastAsia="Inter" w:hAnsi="Inter"/>
              </w:rPr>
              <w:t xml:space="preserve">Taux de visites réalisées dans les 45 premiers jours</w:t>
            </w:r>
          </w:p>
        </w:tc>
        <w:tc>
          <w:tcPr>
            <w:tcW w:type="dxa" w:w="3638"/>
            <w:tcMar>
              <w:top w:type="dxa" w:w="60"/>
              <w:left w:type="dxa" w:w="90"/>
              <w:bottom w:type="dxa" w:w="60"/>
              <w:right w:type="dxa" w:w="90"/>
            </w:tcMar>
          </w:tcPr>
          <w:p>
            <w:pPr>
              <w:spacing w:after="40"/>
            </w:pPr>
            <w:r>
              <w:rPr>
                <w:rFonts w:ascii="Inter" w:cs="Inter" w:eastAsia="Inter" w:hAnsi="Inter"/>
              </w:rPr>
              <w:t xml:space="preserve">100 %</w:t>
            </w:r>
          </w:p>
        </w:tc>
      </w:tr>
      <w:tr>
        <w:trPr>
          <w:cantSplit/>
        </w:trPr>
        <w:tc>
          <w:tcPr>
            <w:tcW w:type="dxa" w:w="6000"/>
            <w:shd w:fill="EEF1F6" w:color="auto" w:val="clear"/>
            <w:tcMar>
              <w:top w:type="dxa" w:w="60"/>
              <w:left w:type="dxa" w:w="90"/>
              <w:bottom w:type="dxa" w:w="60"/>
              <w:right w:type="dxa" w:w="90"/>
            </w:tcMar>
          </w:tcPr>
          <w:p>
            <w:pPr>
              <w:spacing w:after="40"/>
            </w:pPr>
            <w:r>
              <w:rPr>
                <w:rFonts w:ascii="Inter" w:cs="Inter" w:eastAsia="Inter" w:hAnsi="Inter"/>
              </w:rPr>
              <w:t xml:space="preserve">Nombre moyen de contacts CFA / entreprise par apprenti et par an</w:t>
            </w:r>
          </w:p>
        </w:tc>
        <w:tc>
          <w:tcPr>
            <w:tcW w:type="dxa" w:w="3638"/>
            <w:shd w:fill="EEF1F6" w:color="auto" w:val="clear"/>
            <w:tcMar>
              <w:top w:type="dxa" w:w="60"/>
              <w:left w:type="dxa" w:w="90"/>
              <w:bottom w:type="dxa" w:w="60"/>
              <w:right w:type="dxa" w:w="90"/>
            </w:tcMar>
          </w:tcPr>
          <w:p>
            <w:pPr>
              <w:spacing w:after="40"/>
            </w:pPr>
            <w:r>
              <w:rPr>
                <w:rFonts w:ascii="Inter" w:cs="Inter" w:eastAsia="Inter" w:hAnsi="Inter"/>
              </w:rPr>
              <w:t xml:space="preserve">≥ 6</w:t>
            </w:r>
          </w:p>
        </w:tc>
      </w:tr>
      <w:tr>
        <w:trPr>
          <w:cantSplit/>
        </w:trPr>
        <w:tc>
          <w:tcPr>
            <w:tcW w:type="dxa" w:w="6000"/>
            <w:tcMar>
              <w:top w:type="dxa" w:w="60"/>
              <w:left w:type="dxa" w:w="90"/>
              <w:bottom w:type="dxa" w:w="60"/>
              <w:right w:type="dxa" w:w="90"/>
            </w:tcMar>
          </w:tcPr>
          <w:p>
            <w:pPr>
              <w:spacing w:after="40"/>
            </w:pPr>
            <w:r>
              <w:rPr>
                <w:rFonts w:ascii="Inter" w:cs="Inter" w:eastAsia="Inter" w:hAnsi="Inter"/>
              </w:rPr>
              <w:t xml:space="preserve">Taux de livrets à jour lors du bilan trimestriel</w:t>
            </w:r>
          </w:p>
        </w:tc>
        <w:tc>
          <w:tcPr>
            <w:tcW w:type="dxa" w:w="3638"/>
            <w:tcMar>
              <w:top w:type="dxa" w:w="60"/>
              <w:left w:type="dxa" w:w="90"/>
              <w:bottom w:type="dxa" w:w="60"/>
              <w:right w:type="dxa" w:w="90"/>
            </w:tcMar>
          </w:tcPr>
          <w:p>
            <w:pPr>
              <w:spacing w:after="40"/>
            </w:pPr>
            <w:r>
              <w:rPr>
                <w:rFonts w:ascii="Inter" w:cs="Inter" w:eastAsia="Inter" w:hAnsi="Inter"/>
              </w:rPr>
              <w:t xml:space="preserve">≥ 90 %</w:t>
            </w:r>
          </w:p>
        </w:tc>
      </w:tr>
      <w:tr>
        <w:trPr>
          <w:cantSplit/>
        </w:trPr>
        <w:tc>
          <w:tcPr>
            <w:tcW w:type="dxa" w:w="6000"/>
            <w:shd w:fill="EEF1F6" w:color="auto" w:val="clear"/>
            <w:tcMar>
              <w:top w:type="dxa" w:w="60"/>
              <w:left w:type="dxa" w:w="90"/>
              <w:bottom w:type="dxa" w:w="60"/>
              <w:right w:type="dxa" w:w="90"/>
            </w:tcMar>
          </w:tcPr>
          <w:p>
            <w:pPr>
              <w:spacing w:after="40"/>
            </w:pPr>
            <w:r>
              <w:rPr>
                <w:rFonts w:ascii="Inter" w:cs="Inter" w:eastAsia="Inter" w:hAnsi="Inter"/>
              </w:rPr>
              <w:t xml:space="preserve">Satisfaction des maîtres d’apprentissage (questionnaire annuel)</w:t>
            </w:r>
          </w:p>
        </w:tc>
        <w:tc>
          <w:tcPr>
            <w:tcW w:type="dxa" w:w="3638"/>
            <w:shd w:fill="EEF1F6" w:color="auto" w:val="clear"/>
            <w:tcMar>
              <w:top w:type="dxa" w:w="60"/>
              <w:left w:type="dxa" w:w="90"/>
              <w:bottom w:type="dxa" w:w="60"/>
              <w:right w:type="dxa" w:w="90"/>
            </w:tcMar>
          </w:tcPr>
          <w:p>
            <w:pPr>
              <w:spacing w:after="40"/>
            </w:pPr>
            <w:r>
              <w:rPr>
                <w:rFonts w:ascii="Inter" w:cs="Inter" w:eastAsia="Inter" w:hAnsi="Inter"/>
                <w:b/>
                <w:bCs/>
                <w:highlight w:val="yellow"/>
                <w:highlightCs w:val="yellow"/>
              </w:rPr>
              <w:t xml:space="preserve">[objectif à valider]</w:t>
            </w:r>
          </w:p>
        </w:tc>
      </w:tr>
    </w:tbl>
    <w:p>
      <w:pPr>
        <w:spacing w:after="80"/>
      </w:pPr>
    </w:p>
    <w:tbl>
      <w:tblPr>
        <w:tblW w:type="dxa" w:w="9638"/>
        <w:tblBorders>
          <w:top w:val="none" w:color="FFFFFF" w:sz="0"/>
          <w:left w:val="single" w:color="1B3A6B" w:sz="12"/>
          <w:bottom w:val="none" w:color="FFFFFF" w:sz="0"/>
          <w:right w:val="none" w:color="FFFFFF" w:sz="0"/>
          <w:insideH w:val="none" w:color="FFFFFF" w:sz="0"/>
          <w:insideV w:val="none" w:color="FFFFFF" w:sz="0"/>
        </w:tblBorders>
      </w:tblPr>
      <w:tblGrid>
        <w:gridCol w:w="9638"/>
      </w:tblGrid>
      <w:tr>
        <w:tc>
          <w:tcPr>
            <w:tcW w:type="dxa" w:w="9638"/>
            <w:shd w:fill="EEF1F6" w:color="auto" w:val="clear"/>
            <w:tcMar>
              <w:top w:type="dxa" w:w="100"/>
              <w:left w:type="dxa" w:w="160"/>
              <w:bottom w:type="dxa" w:w="100"/>
              <w:right w:type="dxa" w:w="120"/>
            </w:tcMar>
          </w:tcPr>
          <w:p>
            <w:pPr>
              <w:spacing w:after="60"/>
            </w:pPr>
            <w:r>
              <w:rPr>
                <w:rFonts w:ascii="Montserrat" w:cs="Montserrat" w:eastAsia="Montserrat" w:hAnsi="Montserrat"/>
                <w:b/>
                <w:bCs/>
                <w:color w:val="1B3A6B"/>
              </w:rPr>
              <w:t xml:space="preserve">Conformité RGPD / IA Act</w:t>
            </w:r>
          </w:p>
          <w:p>
            <w:pPr>
              <w:spacing w:after="50"/>
            </w:pPr>
            <w:r>
              <w:rPr>
                <w:rFonts w:ascii="Inter" w:cs="Inter" w:eastAsia="Inter" w:hAnsi="Inter"/>
                <w:b/>
                <w:bCs/>
              </w:rPr>
              <w:t xml:space="preserve">RGPD</w:t>
            </w:r>
            <w:r>
              <w:rPr>
                <w:rFonts w:ascii="Inter" w:cs="Inter" w:eastAsia="Inter" w:hAnsi="Inter"/>
              </w:rPr>
              <w:t xml:space="preserve"> — Les comptes rendus de visite peuvent contenir des appréciations sur l’apprenti : rédaction factuelle, accès limité aux parties au contrat. Le livret numérique est hébergé dans l’UE (</w:t>
            </w:r>
            <w:r>
              <w:rPr>
                <w:rFonts w:ascii="Inter" w:cs="Inter" w:eastAsia="Inter" w:hAnsi="Inter"/>
                <w:b/>
                <w:bCs/>
                <w:highlight w:val="yellow"/>
                <w:highlightCs w:val="yellow"/>
              </w:rPr>
              <w:t xml:space="preserve">[outil retenu : Baserow / logiciel de gestion de CFA d’éditeur français]</w:t>
            </w:r>
            <w:r>
              <w:rPr>
                <w:rFonts w:ascii="Inter" w:cs="Inter" w:eastAsia="Inter" w:hAnsi="Inter"/>
              </w:rPr>
              <w:t xml:space="preserve">).</w:t>
            </w:r>
          </w:p>
          <w:p>
            <w:pPr>
              <w:spacing w:after="50"/>
            </w:pPr>
            <w:r>
              <w:rPr>
                <w:rFonts w:ascii="Inter" w:cs="Inter" w:eastAsia="Inter" w:hAnsi="Inter"/>
              </w:rPr>
              <w:t xml:space="preserve">Pas de donnée de santé dans le livret : les éventuels aménagements liés au handicap sont mentionnés sans diagnostic.</w:t>
            </w:r>
          </w:p>
        </w:tc>
      </w:tr>
    </w:tbl>
    <w:p>
      <w:pPr>
        <w:spacing w:after="80"/>
      </w:pPr>
    </w:p>
    <w:p>
      <w:pPr>
        <w:spacing w:after="80"/>
      </w:pPr>
    </w:p>
    <w:p>
      <w:pPr>
        <w:spacing w:after="120" w:line="288"/>
        <w:jc w:val="left"/>
      </w:pPr>
      <w:r>
        <w:rPr>
          <w:rFonts w:ascii="Inter" w:cs="Inter" w:eastAsia="Inter" w:hAnsi="Inter"/>
        </w:rPr>
        <w:t xml:space="preserve">Fait à Saint-Denis, le </w:t>
      </w:r>
      <w:r>
        <w:rPr>
          <w:rFonts w:ascii="Inter" w:cs="Inter" w:eastAsia="Inter" w:hAnsi="Inter"/>
          <w:b/>
          <w:bCs/>
          <w:highlight w:val="yellow"/>
          <w:highlightCs w:val="yellow"/>
        </w:rPr>
        <w:t xml:space="preserve">[date d’envoi]</w:t>
      </w:r>
      <w:r>
        <w:rPr>
          <w:rFonts w:ascii="Inter" w:cs="Inter" w:eastAsia="Inter" w:hAnsi="Inter"/>
        </w:rPr>
        <w:t xml:space="preserve">.</w:t>
      </w:r>
    </w:p>
    <w:p>
      <w:pPr>
        <w:spacing w:after="120" w:line="288"/>
        <w:jc w:val="left"/>
      </w:pPr>
      <w:r>
        <w:rPr>
          <w:rFonts w:ascii="Inter" w:cs="Inter" w:eastAsia="Inter" w:hAnsi="Inter"/>
          <w:b/>
          <w:bCs/>
        </w:rPr>
        <w:t xml:space="preserve">Aurélien LUMEKA, Directeur de YEBA FORMATIONS</w:t>
      </w:r>
    </w:p>
    <w:p>
      <w:pPr>
        <w:spacing w:after="120" w:line="288"/>
        <w:jc w:val="left"/>
      </w:pPr>
      <w:r>
        <w:rPr>
          <w:rFonts w:ascii="Inter" w:cs="Inter" w:eastAsia="Inter" w:hAnsi="Inter"/>
        </w:rPr>
        <w:t xml:space="preserve">Signature et cachet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D4D4D"/>
        <w:sz w:val="16"/>
        <w:szCs w:val="16"/>
      </w:rPr>
      <w:t xml:space="preserve">SIRET 814 622 262 00032 — NDA 04973676397 — Qualiopi 25FOR02027.1 — Page </w:t>
    </w:r>
    <w:r>
      <w:rPr>
        <w:rFonts w:ascii="Inter" w:cs="Inter" w:eastAsia="Inter" w:hAnsi="Inter"/>
        <w:color w:val="4D4D4D"/>
        <w:sz w:val="16"/>
        <w:szCs w:val="16"/>
      </w:rPr>
      <w:fldChar w:fldCharType="begin"/>
      <w:instrText xml:space="preserve">PAGE</w:instrText>
      <w:fldChar w:fldCharType="separate"/>
      <w:fldChar w:fldCharType="end"/>
    </w:r>
    <w:r>
      <w:rPr>
        <w:rFonts w:ascii="Inter" w:cs="Inter" w:eastAsia="Inter" w:hAnsi="Inter"/>
        <w:color w:val="4D4D4D"/>
        <w:sz w:val="16"/>
        <w:szCs w:val="16"/>
      </w:rPr>
      <w:t xml:space="preserve"> / </w:t>
    </w:r>
    <w:r>
      <w:rPr>
        <w:rFonts w:ascii="Inter" w:cs="Inter" w:eastAsia="Inter" w:hAnsi="Inter"/>
        <w:color w:val="4D4D4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4D4D4D"/>
        <w:sz w:val="16"/>
        <w:szCs w:val="16"/>
      </w:rPr>
      <w:t xml:space="preserve">YEBA FORMATIONS — Dossier apprentissage — Pièce 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212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B4C" w:sz="8" w:space="4"/>
      </w:pBdr>
      <w:outlineLvl w:val="0"/>
    </w:pPr>
    <w:rPr>
      <w:rFonts w:ascii="Montserrat" w:cs="Montserrat" w:eastAsia="Montserrat" w:hAnsi="Montserrat"/>
      <w:b/>
      <w:bCs/>
      <w:color w:val="1B3A6B"/>
      <w:sz w:val="28"/>
      <w:szCs w:val="28"/>
    </w:rPr>
  </w:style>
  <w:style w:type="paragraph" w:styleId="Heading2">
    <w:name w:val="Heading 2"/>
    <w:basedOn w:val="Normal"/>
    <w:next w:val="Normal"/>
    <w:qFormat/>
    <w:pPr>
      <w:outlineLvl w:val="1"/>
    </w:pPr>
    <w:rPr>
      <w:rFonts w:ascii="Montserrat" w:cs="Montserrat" w:eastAsia="Montserrat" w:hAnsi="Montserrat"/>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YEBA FORMATIONS — Pièce 07 — Notice — Suivi des apprentis auprès de leur employeur et contrôle de l’adéquation entre la formation au CFA et en entreprise</dc:title>
  <dc:creator>Aurélien LUMEKA</dc:creator>
  <cp:lastModifiedBy>Un-named</cp:lastModifiedBy>
  <cp:revision>1</cp:revision>
  <dcterms:created xsi:type="dcterms:W3CDTF">2026-10-28T13:11:09.744Z</dcterms:created>
  <dcterms:modified xsi:type="dcterms:W3CDTF">2026-10-28T13:11:09.744Z</dcterms:modified>
</cp:coreProperties>
</file>

<file path=docProps/custom.xml><?xml version="1.0" encoding="utf-8"?>
<Properties xmlns="http://schemas.openxmlformats.org/officeDocument/2006/custom-properties" xmlns:vt="http://schemas.openxmlformats.org/officeDocument/2006/docPropsVTypes"/>
</file>