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ontserrat" w:cs="Montserrat" w:eastAsia="Montserrat" w:hAnsi="Montserrat"/>
          <w:b/>
          <w:bCs/>
          <w:color w:val="1B3A6B"/>
          <w:sz w:val="40"/>
          <w:szCs w:val="40"/>
        </w:rPr>
        <w:t xml:space="preserve">YEBA</w:t>
      </w:r>
      <w:r>
        <w:rPr>
          <w:rFonts w:ascii="Montserrat" w:cs="Montserrat" w:eastAsia="Montserrat" w:hAnsi="Montserrat"/>
          <w:b/>
          <w:bCs/>
          <w:color w:val="C9AB4C"/>
          <w:sz w:val="40"/>
          <w:szCs w:val="40"/>
        </w:rPr>
        <w:t xml:space="preserve">  FORMATIONS</w:t>
      </w:r>
    </w:p>
    <w:p>
      <w:pPr>
        <w:pBdr>
          <w:bottom w:val="single" w:color="C9AB4C" w:sz="12" w:space="6"/>
        </w:pBdr>
        <w:spacing w:after="240"/>
      </w:pPr>
      <w:r>
        <w:rPr>
          <w:rFonts w:ascii="Inter" w:cs="Inter" w:eastAsia="Inter" w:hAnsi="Inter"/>
          <w:color w:val="4D4D4D"/>
          <w:sz w:val="20"/>
          <w:szCs w:val="20"/>
        </w:rPr>
        <w:t xml:space="preserve">Organisme de formation — Extension de la déclaration d’activité à la formation par apprentissage</w:t>
      </w:r>
    </w:p>
    <w:p>
      <w:pPr>
        <w:spacing w:after="60"/>
      </w:pPr>
      <w:r>
        <w:rPr>
          <w:rFonts w:ascii="Montserrat" w:cs="Montserrat" w:eastAsia="Montserrat" w:hAnsi="Montserrat"/>
          <w:b/>
          <w:bCs/>
          <w:color w:val="4D4D4D"/>
          <w:sz w:val="24"/>
          <w:szCs w:val="24"/>
        </w:rPr>
        <w:t xml:space="preserve">Pièce n° 08</w:t>
      </w:r>
    </w:p>
    <w:p>
      <w:pPr>
        <w:spacing w:after="160"/>
      </w:pPr>
      <w:r>
        <w:rPr>
          <w:rFonts w:ascii="Montserrat" w:cs="Montserrat" w:eastAsia="Montserrat" w:hAnsi="Montserrat"/>
          <w:b/>
          <w:bCs/>
          <w:color w:val="1B3A6B"/>
          <w:sz w:val="32"/>
          <w:szCs w:val="32"/>
        </w:rPr>
        <w:t xml:space="preserve">Notice — Mixité des métiers et égalité entre les femmes et les hommes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Rubrique</w:t>
            </w:r>
          </w:p>
        </w:tc>
        <w:tc>
          <w:tcPr>
            <w:tcW w:type="dxa" w:w="7038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Information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Destinataire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DEETS La Réunion — Service de contrôle de la formation professionnelle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Référence</w:t>
            </w:r>
          </w:p>
        </w:tc>
        <w:tc>
          <w:tcPr>
            <w:tcW w:type="dxa" w:w="7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Courriel de la DEETS du 20 octobre 2026 — instruction au titre de l’article L.6351-5 du Code du travail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Objet de la pièce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Mesures mises en œuvre et actions entreprises pour favoriser la mixité des métiers, l’égalité entre les femmes et les hommes et prévenir le harcèlement et les agissements sexistes.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Organisme</w:t>
            </w:r>
          </w:p>
        </w:tc>
        <w:tc>
          <w:tcPr>
            <w:tcW w:type="dxa" w:w="7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YEBA FORMATIONS — SIRET 814 622 262 00032 — NDA 04973676397 — UAI 9742022E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Lieu de formation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7 rue Henri Cornu, Immeuble Rodrigue 2, Technopole Réunion / Technor, 97490 Sainte-Clotilde (Saint-Denis)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Certification Qualiopi</w:t>
            </w:r>
          </w:p>
        </w:tc>
        <w:tc>
          <w:tcPr>
            <w:tcW w:type="dxa" w:w="7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n° 25FOR02027.1 (actions de formation). Extension à la catégorie « actions de formation par apprentissage » engagée : l’audit d’extension sera réalisé dès l’entrée en formation du premier apprenti (courriel de l’organisme certificateur du 14/10/2026).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Responsable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Aurélien LUMEKA, Directeur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Version</w:t>
            </w:r>
          </w:p>
        </w:tc>
        <w:tc>
          <w:tcPr>
            <w:tcW w:type="dxa" w:w="7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Version 2 du 28/10/2026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1. Cadre et constat</w:t>
      </w:r>
    </w:p>
    <w:p>
      <w:pPr>
        <w:spacing w:after="120" w:line="288"/>
        <w:jc w:val="both"/>
      </w:pPr>
      <w:r>
        <w:rPr>
          <w:rFonts w:ascii="Inter" w:cs="Inter" w:eastAsia="Inter" w:hAnsi="Inter"/>
        </w:rPr>
        <w:t xml:space="preserve">L’article L.6231-2 du Code du travail demande aux CFA de favoriser la mixité au sein de leurs structures, de sensibiliser formateurs, maîtres d’apprentissage et apprentis à l’égalité entre les femmes et les hommes ainsi qu’à la prévention du harcèlement sexuel, des agissements sexistes et du harcèlement moral, et de lutter contre la répartition sexuée des métiers.</w:t>
      </w:r>
    </w:p>
    <w:p>
      <w:pPr>
        <w:spacing w:after="120" w:line="288"/>
        <w:jc w:val="both"/>
      </w:pPr>
      <w:r>
        <w:rPr>
          <w:rFonts w:ascii="Inter" w:cs="Inter" w:eastAsia="Inter" w:hAnsi="Inter"/>
        </w:rPr>
        <w:t xml:space="preserve">Les trois métiers préparés présentent des déséquilibres connus : la fonction ressources humaines est très féminisée ; les métiers du numérique, dont le Product Builder, sont majoritairement masculins ; dans le commerce, l’encadrement reste plus souvent confié aux hommes alors que les équipes de vente sont largement féminines. Les données réunionnaises précises seront intégrées au premier bilan (</w:t>
      </w:r>
      <w:r>
        <w:rPr>
          <w:rFonts w:ascii="Inter" w:cs="Inter" w:eastAsia="Inter" w:hAnsi="Inter"/>
          <w:b/>
          <w:bCs/>
          <w:highlight w:val="yellow"/>
          <w:highlightCs w:val="yellow"/>
        </w:rPr>
        <w:t xml:space="preserve">[source : Carif-Oref Réunion / INSEE — à insérer]</w:t>
      </w:r>
      <w:r>
        <w:rPr>
          <w:rFonts w:ascii="Inter" w:cs="Inter" w:eastAsia="Inter" w:hAnsi="Inter"/>
        </w:rPr>
        <w:t xml:space="preserve">).</w:t>
      </w: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2. Plan d’action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2400"/>
        <w:gridCol w:w="5400"/>
        <w:gridCol w:w="1838"/>
      </w:tblGrid>
      <w:tr>
        <w:trPr>
          <w:tblHeader/>
        </w:trPr>
        <w:tc>
          <w:tcPr>
            <w:tcW w:type="dxa" w:w="24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Axe</w:t>
            </w:r>
          </w:p>
        </w:tc>
        <w:tc>
          <w:tcPr>
            <w:tcW w:type="dxa" w:w="54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Actions</w:t>
            </w:r>
          </w:p>
        </w:tc>
        <w:tc>
          <w:tcPr>
            <w:tcW w:type="dxa" w:w="1838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Calendrier</w:t>
            </w:r>
          </w:p>
        </w:tc>
      </w:tr>
      <w:tr>
        <w:trPr>
          <w:cantSplit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Communication et recrutement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Objectif d’au moins </w:t>
            </w:r>
            <w:r>
              <w:rPr>
                <w:rFonts w:ascii="Inter" w:cs="Inter" w:eastAsia="Inter" w:hAnsi="Inter"/>
                <w:b/>
                <w:bCs/>
              </w:rPr>
              <w:t xml:space="preserve">30 % de femmes dans le groupe Product Builder</w:t>
            </w:r>
            <w:r>
              <w:rPr>
                <w:rFonts w:ascii="Inter" w:cs="Inter" w:eastAsia="Inter" w:hAnsi="Inter"/>
              </w:rPr>
              <w:t xml:space="preserve"> et d’au moins </w:t>
            </w:r>
            <w:r>
              <w:rPr>
                <w:rFonts w:ascii="Inter" w:cs="Inter" w:eastAsia="Inter" w:hAnsi="Inter"/>
                <w:b/>
                <w:bCs/>
              </w:rPr>
              <w:t xml:space="preserve">30 % d’hommes dans le groupe Responsable RH</w:t>
            </w:r>
            <w:r>
              <w:rPr>
                <w:rFonts w:ascii="Inter" w:cs="Inter" w:eastAsia="Inter" w:hAnsi="Inter"/>
              </w:rPr>
              <w:t xml:space="preserve"> dès la première promotion.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Offres et supports rédigés de façon inclusive, avec des visuels représentant femmes et hommes dans chaque métier.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Témoignages d’apprenties et d’apprentis dans des métiers où leur sexe est minoritaire.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Recrutement sur des critères objectifs et identiques (grille d’entretien commune).</w:t>
            </w:r>
          </w:p>
        </w:tc>
        <w:tc>
          <w:tcPr>
            <w:tcW w:type="dxa" w:w="18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Dès la première campagne</w:t>
            </w:r>
          </w:p>
        </w:tc>
      </w:tr>
      <w:tr>
        <w:trPr>
          <w:cantSplit/>
        </w:trPr>
        <w:tc>
          <w:tcPr>
            <w:tcW w:type="dxa" w:w="24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Sensibilisation des apprentis</w:t>
            </w:r>
          </w:p>
        </w:tc>
        <w:tc>
          <w:tcPr>
            <w:tcW w:type="dxa" w:w="54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Atelier de 3 heures en début de formation : stéréotypes, égalité professionnelle, harcèlement sexuel et agissements sexistes, recours possibles.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Débat ou jeu de rôle « Et si c’était l’inverse ? » en module de management.</w:t>
            </w:r>
          </w:p>
        </w:tc>
        <w:tc>
          <w:tcPr>
            <w:tcW w:type="dxa" w:w="18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Mois 1, puis rappel au mois 6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Sensibilisation des formateurs et maîtres d’apprentissage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Module « Égalité et prévention des violences sexistes et sexuelles » inclus dans la formation des maîtres d’apprentissage (pièce n° 17).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Point annuel de l’équipe pédagogique sur les pratiques (prise de parole, répartition des rôles en jeu de rôle, évaluation).</w:t>
            </w:r>
          </w:p>
        </w:tc>
        <w:tc>
          <w:tcPr>
            <w:tcW w:type="dxa" w:w="18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Annuel</w:t>
            </w:r>
          </w:p>
        </w:tc>
      </w:tr>
      <w:tr>
        <w:trPr>
          <w:cantSplit/>
        </w:trPr>
        <w:tc>
          <w:tcPr>
            <w:tcW w:type="dxa" w:w="24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Signalement et traitement</w:t>
            </w:r>
          </w:p>
        </w:tc>
        <w:tc>
          <w:tcPr>
            <w:tcW w:type="dxa" w:w="54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</w:rPr>
              <w:t xml:space="preserve">Référent(e) égalité et harcèlement</w:t>
            </w:r>
            <w:r>
              <w:rPr>
                <w:rFonts w:ascii="Inter" w:cs="Inter" w:eastAsia="Inter" w:hAnsi="Inter"/>
              </w:rPr>
              <w:t xml:space="preserve"> désigné(e) : </w:t>
            </w:r>
            <w:r>
              <w:rPr>
                <w:rFonts w:ascii="Inter" w:cs="Inter" w:eastAsia="Inter" w:hAnsi="Inter"/>
                <w:b/>
                <w:bCs/>
                <w:highlight w:val="yellow"/>
                <w:highlightCs w:val="yellow"/>
              </w:rPr>
              <w:t xml:space="preserve">[nom]</w:t>
            </w:r>
            <w:r>
              <w:rPr>
                <w:rFonts w:ascii="Inter" w:cs="Inter" w:eastAsia="Inter" w:hAnsi="Inter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Procédure de signalement confidentielle (entretien, courriel dédié), réponse sous 48 heures ouvrées, information des voies de recours (inspection du travail, Défenseur des droits, numéro national d’écoute).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Mesures de protection immédiate de la victime présumée au CFA.</w:t>
            </w:r>
          </w:p>
        </w:tc>
        <w:tc>
          <w:tcPr>
            <w:tcW w:type="dxa" w:w="18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Permanent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Suivi chiffré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Indicateurs sexués : candidatures, admissions, contrats signés, ruptures, réussite, insertion — par formation.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Bilan annuel présenté dans le rapport d’activité.</w:t>
            </w:r>
          </w:p>
        </w:tc>
        <w:tc>
          <w:tcPr>
            <w:tcW w:type="dxa" w:w="18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Annuel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3. Actions déjà entreprises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600"/>
        <w:gridCol w:w="5400"/>
        <w:gridCol w:w="2638"/>
      </w:tblGrid>
      <w:tr>
        <w:trPr>
          <w:tblHeader/>
        </w:trPr>
        <w:tc>
          <w:tcPr>
            <w:tcW w:type="dxa" w:w="16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54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2638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Preuve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highlight w:val="yellow"/>
                <w:highlightCs w:val="yellow"/>
              </w:rPr>
              <w:t xml:space="preserve">[date]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highlight w:val="yellow"/>
                <w:highlightCs w:val="yellow"/>
              </w:rPr>
              <w:t xml:space="preserve">[ex. rédaction de la charte égalité de YEBA FORMATIONS]</w:t>
            </w:r>
          </w:p>
        </w:tc>
        <w:tc>
          <w:tcPr>
            <w:tcW w:type="dxa" w:w="2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highlight w:val="yellow"/>
                <w:highlightCs w:val="yellow"/>
              </w:rPr>
              <w:t xml:space="preserve">[document]</w:t>
            </w:r>
          </w:p>
        </w:tc>
      </w:tr>
      <w:tr>
        <w:trPr>
          <w:cantSplit/>
        </w:trPr>
        <w:tc>
          <w:tcPr>
            <w:tcW w:type="dxa" w:w="1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highlight w:val="yellow"/>
                <w:highlightCs w:val="yellow"/>
              </w:rPr>
              <w:t xml:space="preserve">[date]</w:t>
            </w:r>
          </w:p>
        </w:tc>
        <w:tc>
          <w:tcPr>
            <w:tcW w:type="dxa" w:w="54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highlight w:val="yellow"/>
                <w:highlightCs w:val="yellow"/>
              </w:rPr>
              <w:t xml:space="preserve">[ex. désignation de la/du référent(e) égalité]</w:t>
            </w:r>
          </w:p>
        </w:tc>
        <w:tc>
          <w:tcPr>
            <w:tcW w:type="dxa" w:w="26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highlight w:val="yellow"/>
                <w:highlightCs w:val="yellow"/>
              </w:rPr>
              <w:t xml:space="preserve">[lettre de mission]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C9AB4C" w:sz="1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7F1D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Montserrat" w:cs="Montserrat" w:eastAsia="Montserrat" w:hAnsi="Montserrat"/>
                <w:b/>
                <w:bCs/>
                <w:color w:val="1B3A6B"/>
              </w:rPr>
              <w:t xml:space="preserve">Honnêteté du dossier</w:t>
            </w:r>
          </w:p>
          <w:p>
            <w:pPr>
              <w:spacing w:after="50"/>
            </w:pPr>
            <w:r>
              <w:rPr>
                <w:rFonts w:ascii="Inter" w:cs="Inter" w:eastAsia="Inter" w:hAnsi="Inter"/>
              </w:rPr>
              <w:t xml:space="preserve">Ne mentionner dans ce tableau que des actions réellement réalisées. Une action prévue doit apparaître au § 2 avec sa date prévisionnelle.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B3A6B" w:sz="1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EF1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Montserrat" w:cs="Montserrat" w:eastAsia="Montserrat" w:hAnsi="Montserrat"/>
                <w:b/>
                <w:bCs/>
                <w:color w:val="1B3A6B"/>
              </w:rPr>
              <w:t xml:space="preserve">Conformité RGPD / IA Act</w:t>
            </w:r>
          </w:p>
          <w:p>
            <w:pPr>
              <w:spacing w:after="50"/>
            </w:pPr>
            <w:r>
              <w:rPr>
                <w:rFonts w:ascii="Inter" w:cs="Inter" w:eastAsia="Inter" w:hAnsi="Inter"/>
                <w:b/>
                <w:bCs/>
              </w:rPr>
              <w:t xml:space="preserve">RGPD</w:t>
            </w:r>
            <w:r>
              <w:rPr>
                <w:rFonts w:ascii="Inter" w:cs="Inter" w:eastAsia="Inter" w:hAnsi="Inter"/>
              </w:rPr>
              <w:t xml:space="preserve"> — Les indicateurs sexués sont produits de façon agrégée. Les signalements de harcèlement sont des données très sensibles : accès restreint au référent et à la direction, conservation limitée à la durée de la procédure augmentée des délais de recours (</w:t>
            </w:r>
            <w:r>
              <w:rPr>
                <w:rFonts w:ascii="Inter" w:cs="Inter" w:eastAsia="Inter" w:hAnsi="Inter"/>
                <w:b/>
                <w:bCs/>
                <w:highlight w:val="yellow"/>
                <w:highlightCs w:val="yellow"/>
              </w:rPr>
              <w:t xml:space="preserve">[durée à fixer]</w:t>
            </w:r>
            <w:r>
              <w:rPr>
                <w:rFonts w:ascii="Inter" w:cs="Inter" w:eastAsia="Inter" w:hAnsi="Inter"/>
              </w:rPr>
              <w:t xml:space="preserve">).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20" w:line="288"/>
        <w:jc w:val="left"/>
      </w:pPr>
      <w:r>
        <w:rPr>
          <w:rFonts w:ascii="Inter" w:cs="Inter" w:eastAsia="Inter" w:hAnsi="Inter"/>
        </w:rPr>
        <w:t xml:space="preserve">Fait à Saint-Denis, le </w:t>
      </w:r>
      <w:r>
        <w:rPr>
          <w:rFonts w:ascii="Inter" w:cs="Inter" w:eastAsia="Inter" w:hAnsi="Inter"/>
          <w:b/>
          <w:bCs/>
          <w:highlight w:val="yellow"/>
          <w:highlightCs w:val="yellow"/>
        </w:rPr>
        <w:t xml:space="preserve">[date d’envoi]</w:t>
      </w:r>
      <w:r>
        <w:rPr>
          <w:rFonts w:ascii="Inter" w:cs="Inter" w:eastAsia="Inter" w:hAnsi="Inter"/>
        </w:rPr>
        <w:t xml:space="preserve">.</w:t>
      </w:r>
    </w:p>
    <w:p>
      <w:pPr>
        <w:spacing w:after="120" w:line="288"/>
        <w:jc w:val="left"/>
      </w:pPr>
      <w:r>
        <w:rPr>
          <w:rFonts w:ascii="Inter" w:cs="Inter" w:eastAsia="Inter" w:hAnsi="Inter"/>
          <w:b/>
          <w:bCs/>
        </w:rPr>
        <w:t xml:space="preserve">Aurélien LUMEKA, Directeur de YEBA FORMATIONS</w:t>
      </w:r>
    </w:p>
    <w:p>
      <w:pPr>
        <w:spacing w:after="120" w:line="288"/>
        <w:jc w:val="left"/>
      </w:pPr>
      <w:r>
        <w:rPr>
          <w:rFonts w:ascii="Inter" w:cs="Inter" w:eastAsia="Inter" w:hAnsi="Inter"/>
        </w:rPr>
        <w:t xml:space="preserve">Signature et cachet :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4D4D4D"/>
        <w:sz w:val="16"/>
        <w:szCs w:val="16"/>
      </w:rPr>
      <w:t xml:space="preserve">SIRET 814 622 262 00032 — NDA 04973676397 — Qualiopi 25FOR02027.1 — Page </w:t>
    </w:r>
    <w:r>
      <w:rPr>
        <w:rFonts w:ascii="Inter" w:cs="Inter" w:eastAsia="Inter" w:hAnsi="Inter"/>
        <w:color w:val="4D4D4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4D4D4D"/>
        <w:sz w:val="16"/>
        <w:szCs w:val="16"/>
      </w:rPr>
      <w:t xml:space="preserve"> / </w:t>
    </w:r>
    <w:r>
      <w:rPr>
        <w:rFonts w:ascii="Inter" w:cs="Inter" w:eastAsia="Inter" w:hAnsi="Inter"/>
        <w:color w:val="4D4D4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color w:val="4D4D4D"/>
        <w:sz w:val="16"/>
        <w:szCs w:val="16"/>
      </w:rPr>
      <w:t xml:space="preserve">YEBA FORMATIONS — Dossier apprentissage — Pièce 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212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B4C" w:sz="8" w:space="4"/>
      </w:pBdr>
      <w:outlineLvl w:val="0"/>
    </w:pPr>
    <w:rPr>
      <w:rFonts w:ascii="Montserrat" w:cs="Montserrat" w:eastAsia="Montserrat" w:hAnsi="Montserrat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ontserrat" w:cs="Montserrat" w:eastAsia="Montserrat" w:hAnsi="Montserrat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YEBA FORMATIONS — Pièce 08 — Notice — Mixité des métiers et égalité entre les femmes et les hommes</dc:title>
  <dc:creator>Aurélien LUMEKA</dc:creator>
  <cp:lastModifiedBy>Un-named</cp:lastModifiedBy>
  <cp:revision>1</cp:revision>
  <dcterms:created xsi:type="dcterms:W3CDTF">2026-10-28T13:11:09.777Z</dcterms:created>
  <dcterms:modified xsi:type="dcterms:W3CDTF">2026-10-28T13:11:09.777Z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