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Montserrat" w:cs="Montserrat" w:eastAsia="Montserrat" w:hAnsi="Montserrat"/>
          <w:b/>
          <w:bCs/>
          <w:color w:val="1B3A6B"/>
          <w:sz w:val="40"/>
          <w:szCs w:val="40"/>
        </w:rPr>
        <w:t xml:space="preserve">YEBA</w:t>
      </w:r>
      <w:r>
        <w:rPr>
          <w:rFonts w:ascii="Montserrat" w:cs="Montserrat" w:eastAsia="Montserrat" w:hAnsi="Montserrat"/>
          <w:b/>
          <w:bCs/>
          <w:color w:val="C9AB4C"/>
          <w:sz w:val="40"/>
          <w:szCs w:val="40"/>
        </w:rPr>
        <w:t xml:space="preserve">  FORMATIONS</w:t>
      </w:r>
    </w:p>
    <w:p>
      <w:pPr>
        <w:pBdr>
          <w:bottom w:val="single" w:color="C9AB4C" w:sz="12" w:space="6"/>
        </w:pBdr>
        <w:spacing w:after="240"/>
      </w:pPr>
      <w:r>
        <w:rPr>
          <w:rFonts w:ascii="Inter" w:cs="Inter" w:eastAsia="Inter" w:hAnsi="Inter"/>
          <w:color w:val="4D4D4D"/>
          <w:sz w:val="20"/>
          <w:szCs w:val="20"/>
        </w:rPr>
        <w:t xml:space="preserve">Organisme de formation — Extension de la déclaration d’activité à la formation par apprentissage</w:t>
      </w:r>
    </w:p>
    <w:p>
      <w:pPr>
        <w:spacing w:after="60"/>
      </w:pPr>
      <w:r>
        <w:rPr>
          <w:rFonts w:ascii="Montserrat" w:cs="Montserrat" w:eastAsia="Montserrat" w:hAnsi="Montserrat"/>
          <w:b/>
          <w:bCs/>
          <w:color w:val="4D4D4D"/>
          <w:sz w:val="24"/>
          <w:szCs w:val="24"/>
        </w:rPr>
        <w:t xml:space="preserve">Pièce n° 12</w:t>
      </w:r>
    </w:p>
    <w:p>
      <w:pPr>
        <w:spacing w:after="160"/>
      </w:pPr>
      <w:r>
        <w:rPr>
          <w:rFonts w:ascii="Montserrat" w:cs="Montserrat" w:eastAsia="Montserrat" w:hAnsi="Montserrat"/>
          <w:b/>
          <w:bCs/>
          <w:color w:val="1B3A6B"/>
          <w:sz w:val="32"/>
          <w:szCs w:val="32"/>
        </w:rPr>
        <w:t xml:space="preserve">Notice — Information des apprentis sur leurs droits en matière de santé, de sécurité au travail et de prévention des risques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Information</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Destinataire</w:t>
            </w:r>
          </w:p>
        </w:tc>
        <w:tc>
          <w:tcPr>
            <w:tcW w:type="dxa" w:w="7038"/>
            <w:tcMar>
              <w:top w:type="dxa" w:w="60"/>
              <w:left w:type="dxa" w:w="90"/>
              <w:bottom w:type="dxa" w:w="60"/>
              <w:right w:type="dxa" w:w="90"/>
            </w:tcMar>
          </w:tcPr>
          <w:p>
            <w:pPr>
              <w:spacing w:after="40"/>
            </w:pPr>
            <w:r>
              <w:rPr>
                <w:rFonts w:ascii="Inter" w:cs="Inter" w:eastAsia="Inter" w:hAnsi="Inter"/>
              </w:rPr>
              <w:t xml:space="preserve">DEETS La Réunion — Service de contrôle de la formation professionnelle</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Référence</w:t>
            </w:r>
          </w:p>
        </w:tc>
        <w:tc>
          <w:tcPr>
            <w:tcW w:type="dxa" w:w="7038"/>
            <w:shd w:fill="EEF1F6" w:color="auto" w:val="clear"/>
            <w:tcMar>
              <w:top w:type="dxa" w:w="60"/>
              <w:left w:type="dxa" w:w="90"/>
              <w:bottom w:type="dxa" w:w="60"/>
              <w:right w:type="dxa" w:w="90"/>
            </w:tcMar>
          </w:tcPr>
          <w:p>
            <w:pPr>
              <w:spacing w:after="40"/>
            </w:pPr>
            <w:r>
              <w:rPr>
                <w:rFonts w:ascii="Inter" w:cs="Inter" w:eastAsia="Inter" w:hAnsi="Inter"/>
              </w:rPr>
              <w:t xml:space="preserve">Courriel de la DEETS du 20 octobre 2026 — instruction au titre de l’article L.6351-5 du Code du travail</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Objet de la pièce</w:t>
            </w:r>
          </w:p>
        </w:tc>
        <w:tc>
          <w:tcPr>
            <w:tcW w:type="dxa" w:w="7038"/>
            <w:tcMar>
              <w:top w:type="dxa" w:w="60"/>
              <w:left w:type="dxa" w:w="90"/>
              <w:bottom w:type="dxa" w:w="60"/>
              <w:right w:type="dxa" w:w="90"/>
            </w:tcMar>
          </w:tcPr>
          <w:p>
            <w:pPr>
              <w:spacing w:after="40"/>
            </w:pPr>
            <w:r>
              <w:rPr>
                <w:rFonts w:ascii="Inter" w:cs="Inter" w:eastAsia="Inter" w:hAnsi="Inter"/>
              </w:rPr>
              <w:t xml:space="preserve">Modalités d’information des apprentis sur leurs droits et devoirs de salariés, sur la santé et la sécurité au travail ; liste des documents remis.</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Organisme</w:t>
            </w:r>
          </w:p>
        </w:tc>
        <w:tc>
          <w:tcPr>
            <w:tcW w:type="dxa" w:w="7038"/>
            <w:shd w:fill="EEF1F6" w:color="auto" w:val="clear"/>
            <w:tcMar>
              <w:top w:type="dxa" w:w="60"/>
              <w:left w:type="dxa" w:w="90"/>
              <w:bottom w:type="dxa" w:w="60"/>
              <w:right w:type="dxa" w:w="90"/>
            </w:tcMar>
          </w:tcPr>
          <w:p>
            <w:pPr>
              <w:spacing w:after="40"/>
            </w:pPr>
            <w:r>
              <w:rPr>
                <w:rFonts w:ascii="Inter" w:cs="Inter" w:eastAsia="Inter" w:hAnsi="Inter"/>
              </w:rPr>
              <w:t xml:space="preserve">YEBA FORMATIONS — SIRET 814 622 262 00032 — NDA 04973676397 — UAI 9742022E</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Lieu de formation</w:t>
            </w:r>
          </w:p>
        </w:tc>
        <w:tc>
          <w:tcPr>
            <w:tcW w:type="dxa" w:w="7038"/>
            <w:tcMar>
              <w:top w:type="dxa" w:w="60"/>
              <w:left w:type="dxa" w:w="90"/>
              <w:bottom w:type="dxa" w:w="60"/>
              <w:right w:type="dxa" w:w="90"/>
            </w:tcMar>
          </w:tcPr>
          <w:p>
            <w:pPr>
              <w:spacing w:after="40"/>
            </w:pPr>
            <w:r>
              <w:rPr>
                <w:rFonts w:ascii="Inter" w:cs="Inter" w:eastAsia="Inter" w:hAnsi="Inter"/>
              </w:rPr>
              <w:t xml:space="preserve">7 rue Henri Cornu, Immeuble Rodrigue 2, Technopole Réunion / Technor, 97490 Sainte-Clotilde (Saint-Denis)</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Certification Qualiopi</w:t>
            </w:r>
          </w:p>
        </w:tc>
        <w:tc>
          <w:tcPr>
            <w:tcW w:type="dxa" w:w="7038"/>
            <w:shd w:fill="EEF1F6" w:color="auto" w:val="clear"/>
            <w:tcMar>
              <w:top w:type="dxa" w:w="60"/>
              <w:left w:type="dxa" w:w="90"/>
              <w:bottom w:type="dxa" w:w="60"/>
              <w:right w:type="dxa" w:w="90"/>
            </w:tcMar>
          </w:tcPr>
          <w:p>
            <w:pPr>
              <w:spacing w:after="40"/>
            </w:pPr>
            <w:r>
              <w:rPr>
                <w:rFonts w:ascii="Inter" w:cs="Inter" w:eastAsia="Inter" w:hAnsi="Inter"/>
              </w:rPr>
              <w:t xml:space="preserve">n° 25FOR02027.1 (actions de formation). Extension à la catégorie « actions de formation par apprentissage » engagée : l’audit d’extension sera réalisé dès l’entrée en formation du premier apprenti (courriel de l’organisme certificateur du 14/10/2026).</w:t>
            </w:r>
          </w:p>
        </w:tc>
      </w:tr>
      <w:tr>
        <w:trPr>
          <w:cantSplit/>
        </w:trPr>
        <w:tc>
          <w:tcPr>
            <w:tcW w:type="dxa" w:w="2600"/>
            <w:tcMar>
              <w:top w:type="dxa" w:w="60"/>
              <w:left w:type="dxa" w:w="90"/>
              <w:bottom w:type="dxa" w:w="60"/>
              <w:right w:type="dxa" w:w="90"/>
            </w:tcMar>
          </w:tcPr>
          <w:p>
            <w:pPr>
              <w:spacing w:after="40"/>
            </w:pPr>
            <w:r>
              <w:rPr>
                <w:rFonts w:ascii="Inter" w:cs="Inter" w:eastAsia="Inter" w:hAnsi="Inter"/>
              </w:rPr>
              <w:t xml:space="preserve">Responsable</w:t>
            </w:r>
          </w:p>
        </w:tc>
        <w:tc>
          <w:tcPr>
            <w:tcW w:type="dxa" w:w="7038"/>
            <w:tcMar>
              <w:top w:type="dxa" w:w="60"/>
              <w:left w:type="dxa" w:w="90"/>
              <w:bottom w:type="dxa" w:w="60"/>
              <w:right w:type="dxa" w:w="90"/>
            </w:tcMar>
          </w:tcPr>
          <w:p>
            <w:pPr>
              <w:spacing w:after="40"/>
            </w:pPr>
            <w:r>
              <w:rPr>
                <w:rFonts w:ascii="Inter" w:cs="Inter" w:eastAsia="Inter" w:hAnsi="Inter"/>
              </w:rPr>
              <w:t xml:space="preserve">Aurélien LUMEKA, Directeur</w:t>
            </w:r>
          </w:p>
        </w:tc>
      </w:tr>
      <w:tr>
        <w:trPr>
          <w:cantSplit/>
        </w:trPr>
        <w:tc>
          <w:tcPr>
            <w:tcW w:type="dxa" w:w="2600"/>
            <w:shd w:fill="EEF1F6" w:color="auto" w:val="clear"/>
            <w:tcMar>
              <w:top w:type="dxa" w:w="60"/>
              <w:left w:type="dxa" w:w="90"/>
              <w:bottom w:type="dxa" w:w="60"/>
              <w:right w:type="dxa" w:w="90"/>
            </w:tcMar>
          </w:tcPr>
          <w:p>
            <w:pPr>
              <w:spacing w:after="40"/>
            </w:pPr>
            <w:r>
              <w:rPr>
                <w:rFonts w:ascii="Inter" w:cs="Inter" w:eastAsia="Inter" w:hAnsi="Inter"/>
              </w:rPr>
              <w:t xml:space="preserve">Version</w:t>
            </w:r>
          </w:p>
        </w:tc>
        <w:tc>
          <w:tcPr>
            <w:tcW w:type="dxa" w:w="7038"/>
            <w:shd w:fill="EEF1F6" w:color="auto" w:val="clear"/>
            <w:tcMar>
              <w:top w:type="dxa" w:w="60"/>
              <w:left w:type="dxa" w:w="90"/>
              <w:bottom w:type="dxa" w:w="60"/>
              <w:right w:type="dxa" w:w="90"/>
            </w:tcMar>
          </w:tcPr>
          <w:p>
            <w:pPr>
              <w:spacing w:after="40"/>
            </w:pPr>
            <w:r>
              <w:rPr>
                <w:rFonts w:ascii="Inter" w:cs="Inter" w:eastAsia="Inter" w:hAnsi="Inter"/>
              </w:rPr>
              <w:t xml:space="preserve">Version 2 du 28/10/2026</w:t>
            </w:r>
          </w:p>
        </w:tc>
      </w:tr>
    </w:tbl>
    <w:p>
      <w:pPr>
        <w:spacing w:after="80"/>
      </w:pPr>
    </w:p>
    <w:p>
      <w:pPr>
        <w:pStyle w:val="Heading1"/>
        <w:keepNext/>
        <w:spacing w:after="140" w:before="300"/>
      </w:pPr>
      <w:r>
        <w:rPr>
          <w:rFonts w:ascii="Montserrat" w:cs="Montserrat" w:eastAsia="Montserrat" w:hAnsi="Montserrat"/>
        </w:rPr>
        <w:t xml:space="preserve">1. Obligation et engagement</w:t>
      </w:r>
    </w:p>
    <w:p>
      <w:pPr>
        <w:spacing w:after="120" w:line="288"/>
        <w:jc w:val="both"/>
      </w:pPr>
      <w:r>
        <w:rPr>
          <w:rFonts w:ascii="Inter" w:cs="Inter" w:eastAsia="Inter" w:hAnsi="Inter"/>
        </w:rPr>
        <w:t xml:space="preserve">L’article L.6231-2 du Code du travail impose d’informer les apprentis, </w:t>
      </w:r>
      <w:r>
        <w:rPr>
          <w:rFonts w:ascii="Inter" w:cs="Inter" w:eastAsia="Inter" w:hAnsi="Inter"/>
          <w:b/>
          <w:bCs/>
        </w:rPr>
        <w:t xml:space="preserve">dès le début de leur formation</w:t>
      </w:r>
      <w:r>
        <w:rPr>
          <w:rFonts w:ascii="Inter" w:cs="Inter" w:eastAsia="Inter" w:hAnsi="Inter"/>
        </w:rPr>
        <w:t xml:space="preserve">, de leurs droits et devoirs en tant qu’apprentis et en tant que salariés, ainsi que des règles applicables en matière de santé et de sécurité en milieu professionnel. YEBA FORMATIONS organise cette information en trois temps et la formalise par des documents remis contre émargement.</w:t>
      </w:r>
    </w:p>
    <w:p>
      <w:pPr>
        <w:pStyle w:val="Heading1"/>
        <w:keepNext/>
        <w:spacing w:after="140" w:before="300"/>
      </w:pPr>
      <w:r>
        <w:rPr>
          <w:rFonts w:ascii="Montserrat" w:cs="Montserrat" w:eastAsia="Montserrat" w:hAnsi="Montserrat"/>
        </w:rPr>
        <w:t xml:space="preserve">2. Déroulement</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100"/>
        <w:gridCol w:w="5100"/>
        <w:gridCol w:w="2438"/>
      </w:tblGrid>
      <w:tr>
        <w:trPr>
          <w:tblHeader/>
        </w:trPr>
        <w:tc>
          <w:tcPr>
            <w:tcW w:type="dxa" w:w="21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Moment</w:t>
            </w:r>
          </w:p>
        </w:tc>
        <w:tc>
          <w:tcPr>
            <w:tcW w:type="dxa" w:w="5100"/>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Contenu</w:t>
            </w:r>
          </w:p>
        </w:tc>
        <w:tc>
          <w:tcPr>
            <w:tcW w:type="dxa" w:w="2438"/>
            <w:shd w:fill="1B3A6B" w:color="auto" w:val="clear"/>
            <w:tcMar>
              <w:top w:type="dxa" w:w="60"/>
              <w:left w:type="dxa" w:w="90"/>
              <w:bottom w:type="dxa" w:w="60"/>
              <w:right w:type="dxa" w:w="90"/>
            </w:tcMar>
          </w:tcPr>
          <w:p>
            <w:pPr>
              <w:spacing w:after="40"/>
            </w:pPr>
            <w:r>
              <w:rPr>
                <w:rFonts w:ascii="Inter" w:cs="Inter" w:eastAsia="Inter" w:hAnsi="Inter"/>
                <w:b/>
                <w:bCs/>
                <w:color w:val="FFFFFF"/>
              </w:rPr>
              <w:t xml:space="preserve">Format</w:t>
            </w:r>
          </w:p>
        </w:tc>
      </w:tr>
      <w:tr>
        <w:trPr>
          <w:cantSplit w:val="false"/>
        </w:trPr>
        <w:tc>
          <w:tcPr>
            <w:tcW w:type="dxa" w:w="2100"/>
            <w:tcMar>
              <w:top w:type="dxa" w:w="60"/>
              <w:left w:type="dxa" w:w="90"/>
              <w:bottom w:type="dxa" w:w="60"/>
              <w:right w:type="dxa" w:w="90"/>
            </w:tcMar>
          </w:tcPr>
          <w:p>
            <w:pPr>
              <w:spacing w:after="40"/>
            </w:pPr>
            <w:r>
              <w:rPr>
                <w:rFonts w:ascii="Inter" w:cs="Inter" w:eastAsia="Inter" w:hAnsi="Inter"/>
              </w:rPr>
              <w:t xml:space="preserve">Semaine d’intégration</w:t>
            </w:r>
          </w:p>
        </w:tc>
        <w:tc>
          <w:tcPr>
            <w:tcW w:type="dxa" w:w="5100"/>
            <w:tcMar>
              <w:top w:type="dxa" w:w="60"/>
              <w:left w:type="dxa" w:w="90"/>
              <w:bottom w:type="dxa" w:w="60"/>
              <w:right w:type="dxa" w:w="90"/>
            </w:tcMar>
          </w:tcPr>
          <w:p>
            <w:pPr>
              <w:spacing w:after="40"/>
            </w:pPr>
            <w:r>
              <w:rPr>
                <w:rFonts w:ascii="Inter" w:cs="Inter" w:eastAsia="Inter" w:hAnsi="Inter"/>
              </w:rPr>
              <w:t xml:space="preserve">Statut d’apprenti salarié : contrat, rémunération selon l’âge et l’année, temps de travail, congés, temps au CFA compté comme temps de travail.</w:t>
            </w:r>
          </w:p>
          <w:p>
            <w:pPr>
              <w:spacing w:after="40"/>
            </w:pPr>
            <w:r>
              <w:rPr>
                <w:rFonts w:ascii="Inter" w:cs="Inter" w:eastAsia="Inter" w:hAnsi="Inter"/>
              </w:rPr>
              <w:t xml:space="preserve">Règles propres aux </w:t>
            </w:r>
            <w:r>
              <w:rPr>
                <w:rFonts w:ascii="Inter" w:cs="Inter" w:eastAsia="Inter" w:hAnsi="Inter"/>
                <w:b/>
                <w:bCs/>
              </w:rPr>
              <w:t xml:space="preserve">mineurs</w:t>
            </w:r>
            <w:r>
              <w:rPr>
                <w:rFonts w:ascii="Inter" w:cs="Inter" w:eastAsia="Inter" w:hAnsi="Inter"/>
              </w:rPr>
              <w:t xml:space="preserve"> : durée du travail, repos, travail de nuit, travaux interdits ou réglementés.</w:t>
            </w:r>
          </w:p>
          <w:p>
            <w:pPr>
              <w:spacing w:after="40"/>
            </w:pPr>
            <w:r>
              <w:rPr>
                <w:rFonts w:ascii="Inter" w:cs="Inter" w:eastAsia="Inter" w:hAnsi="Inter"/>
              </w:rPr>
              <w:t xml:space="preserve">Visite d’information et de prévention auprès du service de prévention et de santé au travail de l’employeur.</w:t>
            </w:r>
          </w:p>
          <w:p>
            <w:pPr>
              <w:spacing w:after="40"/>
            </w:pPr>
            <w:r>
              <w:rPr>
                <w:rFonts w:ascii="Inter" w:cs="Inter" w:eastAsia="Inter" w:hAnsi="Inter"/>
              </w:rPr>
              <w:t xml:space="preserve">Accident du travail et de trajet : conduite à tenir, déclaration, couverture.</w:t>
            </w:r>
          </w:p>
          <w:p>
            <w:pPr>
              <w:spacing w:after="40"/>
            </w:pPr>
            <w:r>
              <w:rPr>
                <w:rFonts w:ascii="Inter" w:cs="Inter" w:eastAsia="Inter" w:hAnsi="Inter"/>
              </w:rPr>
              <w:t xml:space="preserve">Droit d’alerte et de retrait ; harcèlement ; discriminations.</w:t>
            </w:r>
          </w:p>
        </w:tc>
        <w:tc>
          <w:tcPr>
            <w:tcW w:type="dxa" w:w="2438"/>
            <w:tcMar>
              <w:top w:type="dxa" w:w="60"/>
              <w:left w:type="dxa" w:w="90"/>
              <w:bottom w:type="dxa" w:w="60"/>
              <w:right w:type="dxa" w:w="90"/>
            </w:tcMar>
          </w:tcPr>
          <w:p>
            <w:pPr>
              <w:spacing w:after="40"/>
            </w:pPr>
            <w:r>
              <w:rPr>
                <w:rFonts w:ascii="Inter" w:cs="Inter" w:eastAsia="Inter" w:hAnsi="Inter"/>
              </w:rPr>
              <w:t xml:space="preserve">Atelier de 3 heures + quiz de vérification</w:t>
            </w:r>
          </w:p>
        </w:tc>
      </w:tr>
      <w:tr>
        <w:trPr>
          <w:cantSplit/>
        </w:trPr>
        <w:tc>
          <w:tcPr>
            <w:tcW w:type="dxa" w:w="2100"/>
            <w:shd w:fill="EEF1F6" w:color="auto" w:val="clear"/>
            <w:tcMar>
              <w:top w:type="dxa" w:w="60"/>
              <w:left w:type="dxa" w:w="90"/>
              <w:bottom w:type="dxa" w:w="60"/>
              <w:right w:type="dxa" w:w="90"/>
            </w:tcMar>
          </w:tcPr>
          <w:p>
            <w:pPr>
              <w:spacing w:after="40"/>
            </w:pPr>
            <w:r>
              <w:rPr>
                <w:rFonts w:ascii="Inter" w:cs="Inter" w:eastAsia="Inter" w:hAnsi="Inter"/>
              </w:rPr>
              <w:t xml:space="preserve">Premiers jours en entreprise</w:t>
            </w:r>
          </w:p>
        </w:tc>
        <w:tc>
          <w:tcPr>
            <w:tcW w:type="dxa" w:w="5100"/>
            <w:shd w:fill="EEF1F6" w:color="auto" w:val="clear"/>
            <w:tcMar>
              <w:top w:type="dxa" w:w="60"/>
              <w:left w:type="dxa" w:w="90"/>
              <w:bottom w:type="dxa" w:w="60"/>
              <w:right w:type="dxa" w:w="90"/>
            </w:tcMar>
          </w:tcPr>
          <w:p>
            <w:pPr>
              <w:spacing w:after="40"/>
            </w:pPr>
            <w:r>
              <w:rPr>
                <w:rFonts w:ascii="Inter" w:cs="Inter" w:eastAsia="Inter" w:hAnsi="Inter"/>
              </w:rPr>
              <w:t xml:space="preserve">Accueil sécurité par l’employeur : consignes du poste, équipements de protection, risques spécifiques (manutention, caisse, déplacements, travail sur écran)</w:t>
            </w:r>
          </w:p>
        </w:tc>
        <w:tc>
          <w:tcPr>
            <w:tcW w:type="dxa" w:w="2438"/>
            <w:shd w:fill="EEF1F6" w:color="auto" w:val="clear"/>
            <w:tcMar>
              <w:top w:type="dxa" w:w="60"/>
              <w:left w:type="dxa" w:w="90"/>
              <w:bottom w:type="dxa" w:w="60"/>
              <w:right w:type="dxa" w:w="90"/>
            </w:tcMar>
          </w:tcPr>
          <w:p>
            <w:pPr>
              <w:spacing w:after="40"/>
            </w:pPr>
            <w:r>
              <w:rPr>
                <w:rFonts w:ascii="Inter" w:cs="Inter" w:eastAsia="Inter" w:hAnsi="Inter"/>
              </w:rPr>
              <w:t xml:space="preserve">Fiche « Accueil sécurité » signée par le maître d’apprentissage et l’apprenti, contrôlée lors de la visite des 45 jours</w:t>
            </w:r>
          </w:p>
        </w:tc>
      </w:tr>
      <w:tr>
        <w:trPr>
          <w:cantSplit/>
        </w:trPr>
        <w:tc>
          <w:tcPr>
            <w:tcW w:type="dxa" w:w="2100"/>
            <w:tcMar>
              <w:top w:type="dxa" w:w="60"/>
              <w:left w:type="dxa" w:w="90"/>
              <w:bottom w:type="dxa" w:w="60"/>
              <w:right w:type="dxa" w:w="90"/>
            </w:tcMar>
          </w:tcPr>
          <w:p>
            <w:pPr>
              <w:spacing w:after="40"/>
            </w:pPr>
            <w:r>
              <w:rPr>
                <w:rFonts w:ascii="Inter" w:cs="Inter" w:eastAsia="Inter" w:hAnsi="Inter"/>
              </w:rPr>
              <w:t xml:space="preserve">En cours de formation</w:t>
            </w:r>
          </w:p>
        </w:tc>
        <w:tc>
          <w:tcPr>
            <w:tcW w:type="dxa" w:w="5100"/>
            <w:tcMar>
              <w:top w:type="dxa" w:w="60"/>
              <w:left w:type="dxa" w:w="90"/>
              <w:bottom w:type="dxa" w:w="60"/>
              <w:right w:type="dxa" w:w="90"/>
            </w:tcMar>
          </w:tcPr>
          <w:p>
            <w:pPr>
              <w:spacing w:after="40"/>
            </w:pPr>
            <w:r>
              <w:rPr>
                <w:rFonts w:ascii="Inter" w:cs="Inter" w:eastAsia="Inter" w:hAnsi="Inter"/>
              </w:rPr>
              <w:t xml:space="preserve">Prévention intégrée aux modules : gestes et postures, gestion du stress et des clients difficiles, sécurité routière (nombreux déplacements professionnels à La Réunion), risques psychosociaux, cybersécurité de base</w:t>
            </w:r>
          </w:p>
        </w:tc>
        <w:tc>
          <w:tcPr>
            <w:tcW w:type="dxa" w:w="2438"/>
            <w:tcMar>
              <w:top w:type="dxa" w:w="60"/>
              <w:left w:type="dxa" w:w="90"/>
              <w:bottom w:type="dxa" w:w="60"/>
              <w:right w:type="dxa" w:w="90"/>
            </w:tcMar>
          </w:tcPr>
          <w:p>
            <w:pPr>
              <w:spacing w:after="40"/>
            </w:pPr>
            <w:r>
              <w:rPr>
                <w:rFonts w:ascii="Inter" w:cs="Inter" w:eastAsia="Inter" w:hAnsi="Inter"/>
              </w:rPr>
              <w:t xml:space="preserve">Séquences dédiées dans le programme</w:t>
            </w:r>
          </w:p>
        </w:tc>
      </w:tr>
    </w:tbl>
    <w:p>
      <w:pPr>
        <w:spacing w:after="80"/>
      </w:pPr>
    </w:p>
    <w:p>
      <w:pPr>
        <w:pStyle w:val="Heading1"/>
        <w:keepNext/>
        <w:spacing w:after="140" w:before="300"/>
      </w:pPr>
      <w:r>
        <w:rPr>
          <w:rFonts w:ascii="Montserrat" w:cs="Montserrat" w:eastAsia="Montserrat" w:hAnsi="Montserrat"/>
        </w:rPr>
        <w:t xml:space="preserve">3. Documents remis aux apprentis</w:t>
      </w:r>
    </w:p>
    <w:p>
      <w:pPr>
        <w:pStyle w:val="ListParagraph"/>
        <w:numPr>
          <w:ilvl w:val="0"/>
          <w:numId w:val="2"/>
        </w:numPr>
        <w:spacing w:after="60" w:line="276"/>
      </w:pPr>
      <w:r>
        <w:rPr>
          <w:rFonts w:ascii="Inter" w:cs="Inter" w:eastAsia="Inter" w:hAnsi="Inter"/>
        </w:rPr>
        <w:t xml:space="preserve">Livret d’accueil de l’apprenti, comprenant la fiche « Mes droits et devoirs d’apprenti salarié ».</w:t>
      </w:r>
    </w:p>
    <w:p>
      <w:pPr>
        <w:pStyle w:val="ListParagraph"/>
        <w:numPr>
          <w:ilvl w:val="0"/>
          <w:numId w:val="2"/>
        </w:numPr>
        <w:spacing w:after="60" w:line="276"/>
      </w:pPr>
      <w:r>
        <w:rPr>
          <w:rFonts w:ascii="Inter" w:cs="Inter" w:eastAsia="Inter" w:hAnsi="Inter"/>
        </w:rPr>
        <w:t xml:space="preserve">Règlement intérieur de YEBA FORMATIONS (consignes de sécurité et d’évacuation des locaux).</w:t>
      </w:r>
    </w:p>
    <w:p>
      <w:pPr>
        <w:pStyle w:val="ListParagraph"/>
        <w:numPr>
          <w:ilvl w:val="0"/>
          <w:numId w:val="2"/>
        </w:numPr>
        <w:spacing w:after="60" w:line="276"/>
      </w:pPr>
      <w:r>
        <w:rPr>
          <w:rFonts w:ascii="Inter" w:cs="Inter" w:eastAsia="Inter" w:hAnsi="Inter"/>
        </w:rPr>
        <w:t xml:space="preserve">Fiche « Santé et sécurité : les bons réflexes » (numéros d’urgence, conduite en cas d’accident, contacts).</w:t>
      </w:r>
    </w:p>
    <w:p>
      <w:pPr>
        <w:pStyle w:val="ListParagraph"/>
        <w:numPr>
          <w:ilvl w:val="0"/>
          <w:numId w:val="2"/>
        </w:numPr>
        <w:spacing w:after="60" w:line="276"/>
      </w:pPr>
      <w:r>
        <w:rPr>
          <w:rFonts w:ascii="Inter" w:cs="Inter" w:eastAsia="Inter" w:hAnsi="Inter"/>
        </w:rPr>
        <w:t xml:space="preserve">Fiche « Rupture de mon contrat : mes droits » (annexe D de la pièce n° 05).</w:t>
      </w:r>
    </w:p>
    <w:p>
      <w:pPr>
        <w:pStyle w:val="ListParagraph"/>
        <w:numPr>
          <w:ilvl w:val="0"/>
          <w:numId w:val="2"/>
        </w:numPr>
        <w:spacing w:after="60" w:line="276"/>
      </w:pPr>
      <w:r>
        <w:rPr>
          <w:rFonts w:ascii="Inter" w:cs="Inter" w:eastAsia="Inter" w:hAnsi="Inter"/>
        </w:rPr>
        <w:t xml:space="preserve">Contacts utiles : inspection du travail (DEETS), CGSS de La Réunion (risques professionnels), médiateur consulaire, Défenseur des droits.</w:t>
      </w:r>
    </w:p>
    <w:p>
      <w:pPr>
        <w:spacing w:after="120" w:line="288"/>
        <w:jc w:val="both"/>
      </w:pPr>
      <w:r>
        <w:rPr>
          <w:rFonts w:ascii="Inter" w:cs="Inter" w:eastAsia="Inter" w:hAnsi="Inter"/>
        </w:rPr>
        <w:t xml:space="preserve">Ces documents sont joints en annexe : </w:t>
      </w:r>
      <w:r>
        <w:rPr>
          <w:rFonts w:ascii="Inter" w:cs="Inter" w:eastAsia="Inter" w:hAnsi="Inter"/>
          <w:b/>
          <w:bCs/>
          <w:highlight w:val="yellow"/>
          <w:highlightCs w:val="yellow"/>
        </w:rPr>
        <w:t xml:space="preserve">[livret d’accueil, règlement intérieur, fiches — à joindre]</w:t>
      </w:r>
      <w:r>
        <w:rPr>
          <w:rFonts w:ascii="Inter" w:cs="Inter" w:eastAsia="Inter" w:hAnsi="Inter"/>
        </w:rPr>
        <w:t xml:space="preserve">.</w:t>
      </w:r>
    </w:p>
    <w:p>
      <w:pPr>
        <w:pStyle w:val="Heading1"/>
        <w:keepNext/>
        <w:spacing w:after="140" w:before="300"/>
      </w:pPr>
      <w:r>
        <w:rPr>
          <w:rFonts w:ascii="Montserrat" w:cs="Montserrat" w:eastAsia="Montserrat" w:hAnsi="Montserrat"/>
        </w:rPr>
        <w:t xml:space="preserve">4. Sécurité dans les locaux du CFA</w:t>
      </w:r>
    </w:p>
    <w:p>
      <w:pPr>
        <w:pStyle w:val="ListParagraph"/>
        <w:numPr>
          <w:ilvl w:val="0"/>
          <w:numId w:val="2"/>
        </w:numPr>
        <w:spacing w:after="60" w:line="276"/>
      </w:pPr>
      <w:r>
        <w:rPr>
          <w:rFonts w:ascii="Inter" w:cs="Inter" w:eastAsia="Inter" w:hAnsi="Inter"/>
        </w:rPr>
        <w:t xml:space="preserve">Consignes d’évacuation affichées ; exercice d’évacuation </w:t>
      </w:r>
      <w:r>
        <w:rPr>
          <w:rFonts w:ascii="Inter" w:cs="Inter" w:eastAsia="Inter" w:hAnsi="Inter"/>
          <w:b/>
          <w:bCs/>
          <w:highlight w:val="yellow"/>
          <w:highlightCs w:val="yellow"/>
        </w:rPr>
        <w:t xml:space="preserve">[périodicité]</w:t>
      </w:r>
      <w:r>
        <w:rPr>
          <w:rFonts w:ascii="Inter" w:cs="Inter" w:eastAsia="Inter" w:hAnsi="Inter"/>
        </w:rPr>
        <w:t xml:space="preserve">.</w:t>
      </w:r>
    </w:p>
    <w:p>
      <w:pPr>
        <w:pStyle w:val="ListParagraph"/>
        <w:numPr>
          <w:ilvl w:val="0"/>
          <w:numId w:val="2"/>
        </w:numPr>
        <w:spacing w:after="60" w:line="276"/>
      </w:pPr>
      <w:r>
        <w:rPr>
          <w:rFonts w:ascii="Inter" w:cs="Inter" w:eastAsia="Inter" w:hAnsi="Inter"/>
        </w:rPr>
        <w:t xml:space="preserve">Trousse de premiers secours ; personne formée aux premiers secours : </w:t>
      </w:r>
      <w:r>
        <w:rPr>
          <w:rFonts w:ascii="Inter" w:cs="Inter" w:eastAsia="Inter" w:hAnsi="Inter"/>
          <w:b/>
          <w:bCs/>
          <w:highlight w:val="yellow"/>
          <w:highlightCs w:val="yellow"/>
        </w:rPr>
        <w:t xml:space="preserve">[nom, attestation SST si existante]</w:t>
      </w:r>
      <w:r>
        <w:rPr>
          <w:rFonts w:ascii="Inter" w:cs="Inter" w:eastAsia="Inter" w:hAnsi="Inter"/>
        </w:rPr>
        <w:t xml:space="preserve">.</w:t>
      </w:r>
    </w:p>
    <w:p>
      <w:pPr>
        <w:pStyle w:val="ListParagraph"/>
        <w:numPr>
          <w:ilvl w:val="0"/>
          <w:numId w:val="2"/>
        </w:numPr>
        <w:spacing w:after="60" w:line="276"/>
      </w:pPr>
      <w:r>
        <w:rPr>
          <w:rFonts w:ascii="Inter" w:cs="Inter" w:eastAsia="Inter" w:hAnsi="Inter"/>
        </w:rPr>
        <w:t xml:space="preserve">Registre de sécurité et document unique d’évaluation des risques (DUERP) de YEBA FORMATIONS : </w:t>
      </w:r>
      <w:r>
        <w:rPr>
          <w:rFonts w:ascii="Inter" w:cs="Inter" w:eastAsia="Inter" w:hAnsi="Inter"/>
          <w:b/>
          <w:bCs/>
          <w:highlight w:val="yellow"/>
          <w:highlightCs w:val="yellow"/>
        </w:rPr>
        <w:t xml:space="preserve">[à jour / à mettre à jour]</w:t>
      </w:r>
      <w:r>
        <w:rPr>
          <w:rFonts w:ascii="Inter" w:cs="Inter" w:eastAsia="Inter" w:hAnsi="Inter"/>
        </w:rPr>
        <w:t xml:space="preserve">.</w:t>
      </w:r>
    </w:p>
    <w:tbl>
      <w:tblPr>
        <w:tblW w:type="dxa" w:w="9638"/>
        <w:tblBorders>
          <w:top w:val="none" w:color="FFFFFF" w:sz="0"/>
          <w:left w:val="single" w:color="1B3A6B" w:sz="12"/>
          <w:bottom w:val="none" w:color="FFFFFF" w:sz="0"/>
          <w:right w:val="none" w:color="FFFFFF" w:sz="0"/>
          <w:insideH w:val="none" w:color="FFFFFF" w:sz="0"/>
          <w:insideV w:val="none" w:color="FFFFFF" w:sz="0"/>
        </w:tblBorders>
      </w:tblPr>
      <w:tblGrid>
        <w:gridCol w:w="9638"/>
      </w:tblGrid>
      <w:tr>
        <w:tc>
          <w:tcPr>
            <w:tcW w:type="dxa" w:w="9638"/>
            <w:shd w:fill="EEF1F6"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Conformité RGPD / IA Act</w:t>
            </w:r>
          </w:p>
          <w:p>
            <w:pPr>
              <w:spacing w:after="50"/>
            </w:pPr>
            <w:r>
              <w:rPr>
                <w:rFonts w:ascii="Inter" w:cs="Inter" w:eastAsia="Inter" w:hAnsi="Inter"/>
                <w:b/>
                <w:bCs/>
              </w:rPr>
              <w:t xml:space="preserve">RGPD</w:t>
            </w:r>
            <w:r>
              <w:rPr>
                <w:rFonts w:ascii="Inter" w:cs="Inter" w:eastAsia="Inter" w:hAnsi="Inter"/>
              </w:rPr>
              <w:t xml:space="preserve"> — Les feuilles d’émargement et quiz de vérification sont conservés comme preuve d’information (</w:t>
            </w:r>
            <w:r>
              <w:rPr>
                <w:rFonts w:ascii="Inter" w:cs="Inter" w:eastAsia="Inter" w:hAnsi="Inter"/>
                <w:b/>
                <w:bCs/>
                <w:highlight w:val="yellow"/>
                <w:highlightCs w:val="yellow"/>
              </w:rPr>
              <w:t xml:space="preserve">[durée à fixer]</w:t>
            </w:r>
            <w:r>
              <w:rPr>
                <w:rFonts w:ascii="Inter" w:cs="Inter" w:eastAsia="Inter" w:hAnsi="Inter"/>
              </w:rPr>
              <w:t xml:space="preserve">). Aucune donnée de santé n’est collectée par le CFA à cette occasion ; le suivi médical relève du service de prévention et de santé au travail de l’employeur.</w:t>
            </w:r>
          </w:p>
        </w:tc>
      </w:tr>
    </w:tbl>
    <w:p>
      <w:pPr>
        <w:spacing w:after="80"/>
      </w:pPr>
    </w:p>
    <w:p>
      <w:pPr>
        <w:spacing w:after="80"/>
      </w:pPr>
    </w:p>
    <w:p>
      <w:pPr>
        <w:spacing w:after="120" w:line="288"/>
        <w:jc w:val="left"/>
      </w:pPr>
      <w:r>
        <w:rPr>
          <w:rFonts w:ascii="Inter" w:cs="Inter" w:eastAsia="Inter" w:hAnsi="Inter"/>
        </w:rPr>
        <w:t xml:space="preserve">Fait à Saint-Denis, le </w:t>
      </w:r>
      <w:r>
        <w:rPr>
          <w:rFonts w:ascii="Inter" w:cs="Inter" w:eastAsia="Inter" w:hAnsi="Inter"/>
          <w:b/>
          <w:bCs/>
          <w:highlight w:val="yellow"/>
          <w:highlightCs w:val="yellow"/>
        </w:rPr>
        <w:t xml:space="preserve">[date d’envoi]</w:t>
      </w:r>
      <w:r>
        <w:rPr>
          <w:rFonts w:ascii="Inter" w:cs="Inter" w:eastAsia="Inter" w:hAnsi="Inter"/>
        </w:rPr>
        <w:t xml:space="preserve">.</w:t>
      </w:r>
    </w:p>
    <w:p>
      <w:pPr>
        <w:spacing w:after="120" w:line="288"/>
        <w:jc w:val="left"/>
      </w:pPr>
      <w:r>
        <w:rPr>
          <w:rFonts w:ascii="Inter" w:cs="Inter" w:eastAsia="Inter" w:hAnsi="Inter"/>
          <w:b/>
          <w:bCs/>
        </w:rPr>
        <w:t xml:space="preserve">Aurélien LUMEKA, Directeur de YEBA FORMATIONS</w:t>
      </w:r>
    </w:p>
    <w:p>
      <w:pPr>
        <w:spacing w:after="120" w:line="288"/>
        <w:jc w:val="left"/>
      </w:pPr>
      <w:r>
        <w:rPr>
          <w:rFonts w:ascii="Inter" w:cs="Inter" w:eastAsia="Inter" w:hAnsi="Inter"/>
        </w:rPr>
        <w:t xml:space="preserve">Signature et cachet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D4D4D"/>
        <w:sz w:val="16"/>
        <w:szCs w:val="16"/>
      </w:rPr>
      <w:t xml:space="preserve">SIRET 814 622 262 00032 — NDA 04973676397 — Qualiopi 25FOR02027.1 — Page </w:t>
    </w:r>
    <w:r>
      <w:rPr>
        <w:rFonts w:ascii="Inter" w:cs="Inter" w:eastAsia="Inter" w:hAnsi="Inter"/>
        <w:color w:val="4D4D4D"/>
        <w:sz w:val="16"/>
        <w:szCs w:val="16"/>
      </w:rPr>
      <w:fldChar w:fldCharType="begin"/>
      <w:instrText xml:space="preserve">PAGE</w:instrText>
      <w:fldChar w:fldCharType="separate"/>
      <w:fldChar w:fldCharType="end"/>
    </w:r>
    <w:r>
      <w:rPr>
        <w:rFonts w:ascii="Inter" w:cs="Inter" w:eastAsia="Inter" w:hAnsi="Inter"/>
        <w:color w:val="4D4D4D"/>
        <w:sz w:val="16"/>
        <w:szCs w:val="16"/>
      </w:rPr>
      <w:t xml:space="preserve"> / </w:t>
    </w:r>
    <w:r>
      <w:rPr>
        <w:rFonts w:ascii="Inter" w:cs="Inter" w:eastAsia="Inter" w:hAnsi="Inter"/>
        <w:color w:val="4D4D4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4D4D4D"/>
        <w:sz w:val="16"/>
        <w:szCs w:val="16"/>
      </w:rPr>
      <w:t xml:space="preserve">YEBA FORMATIONS — Dossier apprentissage — Pièce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212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B4C" w:sz="8" w:space="4"/>
      </w:pBdr>
      <w:outlineLvl w:val="0"/>
    </w:pPr>
    <w:rPr>
      <w:rFonts w:ascii="Montserrat" w:cs="Montserrat" w:eastAsia="Montserrat" w:hAnsi="Montserrat"/>
      <w:b/>
      <w:bCs/>
      <w:color w:val="1B3A6B"/>
      <w:sz w:val="28"/>
      <w:szCs w:val="28"/>
    </w:rPr>
  </w:style>
  <w:style w:type="paragraph" w:styleId="Heading2">
    <w:name w:val="Heading 2"/>
    <w:basedOn w:val="Normal"/>
    <w:next w:val="Normal"/>
    <w:qFormat/>
    <w:pPr>
      <w:outlineLvl w:val="1"/>
    </w:pPr>
    <w:rPr>
      <w:rFonts w:ascii="Montserrat" w:cs="Montserrat" w:eastAsia="Montserrat" w:hAnsi="Montserrat"/>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YEBA FORMATIONS — Pièce 12 — Notice — Information des apprentis sur leurs droits en matière de santé, de sécurité au travail et de prévention des risques</dc:title>
  <dc:creator>Aurélien LUMEKA</dc:creator>
  <cp:lastModifiedBy>Un-named</cp:lastModifiedBy>
  <cp:revision>1</cp:revision>
  <dcterms:created xsi:type="dcterms:W3CDTF">2026-10-28T13:11:10.061Z</dcterms:created>
  <dcterms:modified xsi:type="dcterms:W3CDTF">2026-10-28T13:11:10.062Z</dcterms:modified>
</cp:coreProperties>
</file>

<file path=docProps/custom.xml><?xml version="1.0" encoding="utf-8"?>
<Properties xmlns="http://schemas.openxmlformats.org/officeDocument/2006/custom-properties" xmlns:vt="http://schemas.openxmlformats.org/officeDocument/2006/docPropsVTypes"/>
</file>