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15</w:t>
      </w:r>
    </w:p>
    <w:p>
      <w:pPr>
        <w:spacing w:after="160"/>
      </w:pPr>
      <w:r>
        <w:rPr>
          <w:rFonts w:ascii="Montserrat" w:cs="Montserrat" w:eastAsia="Montserrat" w:hAnsi="Montserrat"/>
          <w:b/>
          <w:bCs/>
          <w:color w:val="1B3A6B"/>
          <w:sz w:val="32"/>
          <w:szCs w:val="32"/>
        </w:rPr>
        <w:t xml:space="preserve">État descriptif — Sensibilisation des apprentis à la création ou à la reprise d’entreprise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Destinataire</w:t>
            </w:r>
          </w:p>
        </w:tc>
        <w:tc>
          <w:tcPr>
            <w:tcW w:type="dxa" w:w="7038"/>
            <w:tcMar>
              <w:top w:type="dxa" w:w="60"/>
              <w:left w:type="dxa" w:w="90"/>
              <w:bottom w:type="dxa" w:w="60"/>
              <w:right w:type="dxa" w:w="90"/>
            </w:tcMar>
          </w:tcPr>
          <w:p>
            <w:pPr>
              <w:spacing w:after="40"/>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pPr>
            <w:r>
              <w:rPr>
                <w:rFonts w:ascii="Inter" w:cs="Inter" w:eastAsia="Inter" w:hAnsi="Inter"/>
              </w:rPr>
              <w:t xml:space="preserve">Actions de sensibilisation et d’orientation des apprentis vers l’entrepreneuriat.</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Responsable</w:t>
            </w:r>
          </w:p>
        </w:tc>
        <w:tc>
          <w:tcPr>
            <w:tcW w:type="dxa" w:w="7038"/>
            <w:tcMar>
              <w:top w:type="dxa" w:w="60"/>
              <w:left w:type="dxa" w:w="90"/>
              <w:bottom w:type="dxa" w:w="60"/>
              <w:right w:type="dxa" w:w="90"/>
            </w:tcMar>
          </w:tcPr>
          <w:p>
            <w:pPr>
              <w:spacing w:after="40"/>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Pourquoi c’est pertinent pour nos apprentis</w:t>
      </w:r>
    </w:p>
    <w:p>
      <w:pPr>
        <w:spacing w:after="120" w:line="288"/>
        <w:jc w:val="both"/>
      </w:pPr>
      <w:r>
        <w:rPr>
          <w:rFonts w:ascii="Inter" w:cs="Inter" w:eastAsia="Inter" w:hAnsi="Inter"/>
        </w:rPr>
        <w:t xml:space="preserve">Les métiers préparés — management d’un point de vente, ressources humaines, conception d’applications sans code — sont des tremplins naturels vers l’entrepreneuriat. À La Réunion, de nombreuses TPE devront par ailleurs trouver un repreneur dans les années à venir (</w:t>
      </w:r>
      <w:r>
        <w:rPr>
          <w:rFonts w:ascii="Inter" w:cs="Inter" w:eastAsia="Inter" w:hAnsi="Inter"/>
          <w:b/>
          <w:bCs/>
          <w:highlight w:val="yellow"/>
          <w:highlightCs w:val="yellow"/>
        </w:rPr>
        <w:t xml:space="preserve">[donnée chiffrée CCI Réunion / INSEE à insérer si disponible]</w:t>
      </w:r>
      <w:r>
        <w:rPr>
          <w:rFonts w:ascii="Inter" w:cs="Inter" w:eastAsia="Inter" w:hAnsi="Inter"/>
        </w:rPr>
        <w:t xml:space="preserve">). Le dirigeant de YEBA FORMATIONS, à la tête de l’entreprise depuis 2021, témoigne de ce parcours. Le Product Builder No-Code se prête particulièrement à la création d’activité (prestation indépendante auprès des TPE-PME).</w:t>
      </w:r>
    </w:p>
    <w:p>
      <w:pPr>
        <w:pStyle w:val="Heading1"/>
        <w:keepNext/>
        <w:spacing w:after="140" w:before="300"/>
      </w:pPr>
      <w:r>
        <w:rPr>
          <w:rFonts w:ascii="Montserrat" w:cs="Montserrat" w:eastAsia="Montserrat" w:hAnsi="Montserrat"/>
        </w:rPr>
        <w:t xml:space="preserve">2. Programme de sensibilisation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4800"/>
        <w:gridCol w:w="2238"/>
      </w:tblGrid>
      <w:tr>
        <w:trPr>
          <w:tblHeader/>
        </w:trPr>
        <w:tc>
          <w:tcPr>
            <w:tcW w:type="dxa" w:w="26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Action</w:t>
            </w:r>
          </w:p>
        </w:tc>
        <w:tc>
          <w:tcPr>
            <w:tcW w:type="dxa" w:w="4800"/>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Contenu</w:t>
            </w:r>
          </w:p>
        </w:tc>
        <w:tc>
          <w:tcPr>
            <w:tcW w:type="dxa" w:w="2238"/>
            <w:shd w:fill="1B3A6B" w:color="auto" w:val="clear"/>
            <w:tcMar>
              <w:top w:type="dxa" w:w="60"/>
              <w:left w:type="dxa" w:w="90"/>
              <w:bottom w:type="dxa" w:w="60"/>
              <w:right w:type="dxa" w:w="90"/>
            </w:tcMar>
          </w:tcPr>
          <w:p>
            <w:pPr>
              <w:spacing w:after="40"/>
            </w:pPr>
            <w:r>
              <w:rPr>
                <w:rFonts w:ascii="Inter" w:cs="Inter" w:eastAsia="Inter" w:hAnsi="Inter"/>
                <w:b/>
                <w:bCs/>
                <w:color w:val="FFFFFF"/>
              </w:rPr>
              <w:t xml:space="preserve">Durée / moment</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Module « Esprit d’entreprendre »</w:t>
            </w:r>
          </w:p>
        </w:tc>
        <w:tc>
          <w:tcPr>
            <w:tcW w:type="dxa" w:w="4800"/>
            <w:tcMar>
              <w:top w:type="dxa" w:w="60"/>
              <w:left w:type="dxa" w:w="90"/>
              <w:bottom w:type="dxa" w:w="60"/>
              <w:right w:type="dxa" w:w="90"/>
            </w:tcMar>
          </w:tcPr>
          <w:p>
            <w:pPr>
              <w:spacing w:after="40"/>
            </w:pPr>
            <w:r>
              <w:rPr>
                <w:rFonts w:ascii="Inter" w:cs="Inter" w:eastAsia="Inter" w:hAnsi="Inter"/>
              </w:rPr>
              <w:t xml:space="preserve">Du projet à l’entreprise : idée, client, offre, prix, statut juridique, premières démarches ; intégré au cursus</w:t>
            </w:r>
          </w:p>
        </w:tc>
        <w:tc>
          <w:tcPr>
            <w:tcW w:type="dxa" w:w="2238"/>
            <w:tcMar>
              <w:top w:type="dxa" w:w="60"/>
              <w:left w:type="dxa" w:w="90"/>
              <w:bottom w:type="dxa" w:w="60"/>
              <w:right w:type="dxa" w:w="90"/>
            </w:tcMar>
          </w:tcPr>
          <w:p>
            <w:pPr>
              <w:spacing w:after="40"/>
            </w:pPr>
            <w:r>
              <w:rPr>
                <w:rFonts w:ascii="Inter" w:cs="Inter" w:eastAsia="Inter" w:hAnsi="Inter"/>
              </w:rPr>
              <w:t xml:space="preserve">7 heures, deuxième moitié de la formation</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Défi « Mon projet en 48 heures »</w:t>
            </w:r>
          </w:p>
        </w:tc>
        <w:tc>
          <w:tcPr>
            <w:tcW w:type="dxa" w:w="4800"/>
            <w:shd w:fill="EEF1F6" w:color="auto" w:val="clear"/>
            <w:tcMar>
              <w:top w:type="dxa" w:w="60"/>
              <w:left w:type="dxa" w:w="90"/>
              <w:bottom w:type="dxa" w:w="60"/>
              <w:right w:type="dxa" w:w="90"/>
            </w:tcMar>
          </w:tcPr>
          <w:p>
            <w:pPr>
              <w:spacing w:after="40"/>
            </w:pPr>
            <w:r>
              <w:rPr>
                <w:rFonts w:ascii="Inter" w:cs="Inter" w:eastAsia="Inter" w:hAnsi="Inter"/>
              </w:rPr>
              <w:t xml:space="preserve">Par équipes, construction d’un mini-projet (offre, cible, pitch) présenté devant un jury de chefs d’entreprise</w:t>
            </w:r>
          </w:p>
        </w:tc>
        <w:tc>
          <w:tcPr>
            <w:tcW w:type="dxa" w:w="2238"/>
            <w:shd w:fill="EEF1F6" w:color="auto" w:val="clear"/>
            <w:tcMar>
              <w:top w:type="dxa" w:w="60"/>
              <w:left w:type="dxa" w:w="90"/>
              <w:bottom w:type="dxa" w:w="60"/>
              <w:right w:type="dxa" w:w="90"/>
            </w:tcMar>
          </w:tcPr>
          <w:p>
            <w:pPr>
              <w:spacing w:after="40"/>
            </w:pPr>
            <w:r>
              <w:rPr>
                <w:rFonts w:ascii="Inter" w:cs="Inter" w:eastAsia="Inter" w:hAnsi="Inter"/>
              </w:rPr>
              <w:t xml:space="preserve">2 jours, une fois par an</w:t>
            </w:r>
          </w:p>
        </w:tc>
      </w:tr>
      <w:tr>
        <w:trPr>
          <w:cantSplit/>
        </w:trPr>
        <w:tc>
          <w:tcPr>
            <w:tcW w:type="dxa" w:w="2600"/>
            <w:tcMar>
              <w:top w:type="dxa" w:w="60"/>
              <w:left w:type="dxa" w:w="90"/>
              <w:bottom w:type="dxa" w:w="60"/>
              <w:right w:type="dxa" w:w="90"/>
            </w:tcMar>
          </w:tcPr>
          <w:p>
            <w:pPr>
              <w:spacing w:after="40"/>
            </w:pPr>
            <w:r>
              <w:rPr>
                <w:rFonts w:ascii="Inter" w:cs="Inter" w:eastAsia="Inter" w:hAnsi="Inter"/>
              </w:rPr>
              <w:t xml:space="preserve">Témoignages</w:t>
            </w:r>
          </w:p>
        </w:tc>
        <w:tc>
          <w:tcPr>
            <w:tcW w:type="dxa" w:w="4800"/>
            <w:tcMar>
              <w:top w:type="dxa" w:w="60"/>
              <w:left w:type="dxa" w:w="90"/>
              <w:bottom w:type="dxa" w:w="60"/>
              <w:right w:type="dxa" w:w="90"/>
            </w:tcMar>
          </w:tcPr>
          <w:p>
            <w:pPr>
              <w:spacing w:after="40"/>
            </w:pPr>
            <w:r>
              <w:rPr>
                <w:rFonts w:ascii="Inter" w:cs="Inter" w:eastAsia="Inter" w:hAnsi="Inter"/>
              </w:rPr>
              <w:t xml:space="preserve">Créateurs et repreneurs réunionnais, dont d’anciens apprentis à terme</w:t>
            </w:r>
          </w:p>
        </w:tc>
        <w:tc>
          <w:tcPr>
            <w:tcW w:type="dxa" w:w="2238"/>
            <w:tcMar>
              <w:top w:type="dxa" w:w="60"/>
              <w:left w:type="dxa" w:w="90"/>
              <w:bottom w:type="dxa" w:w="60"/>
              <w:right w:type="dxa" w:w="90"/>
            </w:tcMar>
          </w:tcPr>
          <w:p>
            <w:pPr>
              <w:spacing w:after="40"/>
            </w:pPr>
            <w:r>
              <w:rPr>
                <w:rFonts w:ascii="Inter" w:cs="Inter" w:eastAsia="Inter" w:hAnsi="Inter"/>
              </w:rPr>
              <w:t xml:space="preserve">1 à 2 rencontres par an</w:t>
            </w:r>
          </w:p>
        </w:tc>
      </w:tr>
      <w:tr>
        <w:trPr>
          <w:cantSplit/>
        </w:trPr>
        <w:tc>
          <w:tcPr>
            <w:tcW w:type="dxa" w:w="2600"/>
            <w:shd w:fill="EEF1F6" w:color="auto" w:val="clear"/>
            <w:tcMar>
              <w:top w:type="dxa" w:w="60"/>
              <w:left w:type="dxa" w:w="90"/>
              <w:bottom w:type="dxa" w:w="60"/>
              <w:right w:type="dxa" w:w="90"/>
            </w:tcMar>
          </w:tcPr>
          <w:p>
            <w:pPr>
              <w:spacing w:after="40"/>
            </w:pPr>
            <w:r>
              <w:rPr>
                <w:rFonts w:ascii="Inter" w:cs="Inter" w:eastAsia="Inter" w:hAnsi="Inter"/>
              </w:rPr>
              <w:t xml:space="preserve">Orientation individuelle</w:t>
            </w:r>
          </w:p>
        </w:tc>
        <w:tc>
          <w:tcPr>
            <w:tcW w:type="dxa" w:w="4800"/>
            <w:shd w:fill="EEF1F6" w:color="auto" w:val="clear"/>
            <w:tcMar>
              <w:top w:type="dxa" w:w="60"/>
              <w:left w:type="dxa" w:w="90"/>
              <w:bottom w:type="dxa" w:w="60"/>
              <w:right w:type="dxa" w:w="90"/>
            </w:tcMar>
          </w:tcPr>
          <w:p>
            <w:pPr>
              <w:spacing w:after="40"/>
            </w:pPr>
            <w:r>
              <w:rPr>
                <w:rFonts w:ascii="Inter" w:cs="Inter" w:eastAsia="Inter" w:hAnsi="Inter"/>
              </w:rPr>
              <w:t xml:space="preserve">Mise en relation avec les réseaux d’accompagnement à la création et à la reprise</w:t>
            </w:r>
          </w:p>
        </w:tc>
        <w:tc>
          <w:tcPr>
            <w:tcW w:type="dxa" w:w="2238"/>
            <w:shd w:fill="EEF1F6" w:color="auto" w:val="clear"/>
            <w:tcMar>
              <w:top w:type="dxa" w:w="60"/>
              <w:left w:type="dxa" w:w="90"/>
              <w:bottom w:type="dxa" w:w="60"/>
              <w:right w:type="dxa" w:w="90"/>
            </w:tcMar>
          </w:tcPr>
          <w:p>
            <w:pPr>
              <w:spacing w:after="40"/>
            </w:pPr>
            <w:r>
              <w:rPr>
                <w:rFonts w:ascii="Inter" w:cs="Inter" w:eastAsia="Inter" w:hAnsi="Inter"/>
              </w:rPr>
              <w:t xml:space="preserve">Sur demande</w:t>
            </w:r>
          </w:p>
        </w:tc>
      </w:tr>
    </w:tbl>
    <w:p>
      <w:pPr>
        <w:spacing w:after="80"/>
      </w:pPr>
    </w:p>
    <w:p>
      <w:pPr>
        <w:pStyle w:val="Heading1"/>
        <w:keepNext/>
        <w:spacing w:after="140" w:before="300"/>
      </w:pPr>
      <w:r>
        <w:rPr>
          <w:rFonts w:ascii="Montserrat" w:cs="Montserrat" w:eastAsia="Montserrat" w:hAnsi="Montserrat"/>
        </w:rPr>
        <w:t xml:space="preserve">3. Réseaux d’accompagnement sollicités</w:t>
      </w:r>
    </w:p>
    <w:p>
      <w:pPr>
        <w:spacing w:after="120" w:line="288"/>
        <w:jc w:val="both"/>
      </w:pPr>
      <w:r>
        <w:rPr>
          <w:rFonts w:ascii="Inter" w:cs="Inter" w:eastAsia="Inter" w:hAnsi="Inter"/>
        </w:rPr>
        <w:t xml:space="preserve">CCI Réunion et Chambre de métiers et de l’artisanat (parcours création et reprise), réseaux de prêt d’honneur et de financement de la création (Initiative France, Réseau Entreprendre, Adie, BPI), France Travail pour les demandeurs d’emploi créateurs. Aucun partenariat n’est formalisé à ce jour ; les prises de contact sont prévues au premier semestre 2027, avant le module « Esprit d’entreprendre ».</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pPr>
            <w:r>
              <w:rPr>
                <w:rFonts w:ascii="Inter" w:cs="Inter" w:eastAsia="Inter" w:hAnsi="Inter"/>
                <w:b/>
                <w:bCs/>
              </w:rPr>
              <w:t xml:space="preserve">RGPD</w:t>
            </w:r>
            <w:r>
              <w:rPr>
                <w:rFonts w:ascii="Inter" w:cs="Inter" w:eastAsia="Inter" w:hAnsi="Inter"/>
              </w:rPr>
              <w:t xml:space="preserve"> — La mise en relation avec un réseau d’accompagnement se fait à l’initiative de l’apprenti ou avec son accord explicite.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15 — État descriptif — Sensibilisation des apprentis à la création ou à la reprise d’entreprise</dc:title>
  <dc:creator>Aurélien LUMEKA</dc:creator>
  <cp:lastModifiedBy>Un-named</cp:lastModifiedBy>
  <cp:revision>1</cp:revision>
  <dcterms:created xsi:type="dcterms:W3CDTF">2026-10-28T13:11:10.173Z</dcterms:created>
  <dcterms:modified xsi:type="dcterms:W3CDTF">2026-10-28T13:11:10.173Z</dcterms:modified>
</cp:coreProperties>
</file>

<file path=docProps/custom.xml><?xml version="1.0" encoding="utf-8"?>
<Properties xmlns="http://schemas.openxmlformats.org/officeDocument/2006/custom-properties" xmlns:vt="http://schemas.openxmlformats.org/officeDocument/2006/docPropsVTypes"/>
</file>