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16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Modalités de promotion et de réalisation d’activités culturelles et sportives au bénéfice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Programme annuel d’activités culturelles et sportives, organisation et financement.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Intention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activités culturelles et sportives renforcent la cohésion de la promotion, la confiance en soi et le sentiment d’appartenance — trois leviers reconnus de la persévérance (pièce n° 11). Elles valorisent aussi le patrimoine réunionnais et développent des compétences transférables en entreprise : communication, coopération, gestion de l’effort.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Programme annuel prévisionnel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200"/>
        <w:gridCol w:w="4800"/>
        <w:gridCol w:w="2638"/>
      </w:tblGrid>
      <w:tr>
        <w:trPr>
          <w:tblHeader/>
        </w:trPr>
        <w:tc>
          <w:tcPr>
            <w:tcW w:type="dxa" w:w="22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48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Activité</w:t>
            </w:r>
          </w:p>
        </w:tc>
        <w:tc>
          <w:tcPr>
            <w:tcW w:type="dxa" w:w="26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Lien avec la formation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Semaine d’intégration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Activité de cohésion en plein air (randonnée accessible ou défi sportif par équipes, adapté à tous)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Coopération, connaissance de la promotion</w:t>
            </w:r>
          </w:p>
        </w:tc>
      </w:tr>
      <w:tr>
        <w:trPr>
          <w:cantSplit/>
        </w:trPr>
        <w:tc>
          <w:tcPr>
            <w:tcW w:type="dxa" w:w="2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Trimestre 1</w:t>
            </w:r>
          </w:p>
        </w:tc>
        <w:tc>
          <w:tcPr>
            <w:tcW w:type="dxa" w:w="4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Visite culturelle : musée, site patrimonial ou exposition de l’île</w:t>
            </w:r>
          </w:p>
        </w:tc>
        <w:tc>
          <w:tcPr>
            <w:tcW w:type="dxa" w:w="2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Culture générale, ouverture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Trimestre 2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Rencontre artistique (concert, théâtre, maloya, slam) suivie d’un échange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Expression orale, confiance en soi</w:t>
            </w:r>
          </w:p>
        </w:tc>
      </w:tr>
      <w:tr>
        <w:trPr>
          <w:cantSplit/>
        </w:trPr>
        <w:tc>
          <w:tcPr>
            <w:tcW w:type="dxa" w:w="2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Trimestre 3</w:t>
            </w:r>
          </w:p>
        </w:tc>
        <w:tc>
          <w:tcPr>
            <w:tcW w:type="dxa" w:w="4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Tournoi sportif inter-promotions ou participation à une course solidaire</w:t>
            </w:r>
          </w:p>
        </w:tc>
        <w:tc>
          <w:tcPr>
            <w:tcW w:type="dxa" w:w="2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Esprit d’équipe, santé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Toute l’année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Diffusion des offres culturelles et sportives accessibles aux jeunes (dispositifs nationaux et régionaux en vigueur —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vérifier]</w:t>
            </w:r>
            <w:r>
              <w:rPr>
                <w:rFonts w:ascii="Inter" w:cs="Inter" w:eastAsia="Inter" w:hAnsi="Inter"/>
              </w:rPr>
              <w:t xml:space="preserve">)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Accès à la culture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Organisation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  <w:b/>
          <w:bCs/>
        </w:rPr>
        <w:t xml:space="preserve">Référent vie de l’apprenti</w:t>
      </w:r>
      <w:r>
        <w:rPr>
          <w:rFonts w:ascii="Inter" w:cs="Inter" w:eastAsia="Inter" w:hAnsi="Inter"/>
        </w:rPr>
        <w:t xml:space="preserve"> :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[nom]</w:t>
      </w:r>
      <w:r>
        <w:rPr>
          <w:rFonts w:ascii="Inter" w:cs="Inter" w:eastAsia="Inter" w:hAnsi="Inter"/>
        </w:rPr>
        <w:t xml:space="preserve"> ; programme élaboré avec les délégués de la promotion.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Activités programmées sur le temps de formation ou en dehors, sur la base du volontariat lorsqu’elles ont lieu hors temps de formation.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Accessibilité vérifiée pour chaque activité ; alternative proposée si nécessaire (pièce n° 10).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Budget prévisionnel annuel :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[montant]</w:t>
      </w:r>
      <w:r>
        <w:rPr>
          <w:rFonts w:ascii="Inter" w:cs="Inter" w:eastAsia="Inter" w:hAnsi="Inter"/>
        </w:rPr>
        <w:t xml:space="preserve"> € ; recherche de partenaires (collectivités, associations, entreprises).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Assurance responsabilité civile de l’organisme vérifiée pour les activités extérieures ; autorisation parentale pour les mineurs.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Droit à l’image : aucune photo d’apprenti n’est publiée sans autorisation écrite (et celle des représentants légaux pour un mineur). Pas de publication sur des réseaux sociaux sans cet accord.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16 — Modalités de promotion et de réalisation d’activités culturelles et sportives au bénéfice des apprentis</dc:title>
  <dc:creator>Aurélien LUMEKA</dc:creator>
  <cp:lastModifiedBy>Un-named</cp:lastModifiedBy>
  <cp:revision>1</cp:revision>
  <dcterms:created xsi:type="dcterms:W3CDTF">2026-10-28T13:11:10.192Z</dcterms:created>
  <dcterms:modified xsi:type="dcterms:W3CDTF">2026-10-28T13:11:10.192Z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