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ontserrat" w:cs="Montserrat" w:eastAsia="Montserrat" w:hAnsi="Montserrat"/>
          <w:b/>
          <w:bCs/>
          <w:color w:val="1B3A6B"/>
          <w:sz w:val="40"/>
          <w:szCs w:val="40"/>
        </w:rPr>
        <w:t xml:space="preserve">YEBA</w:t>
      </w:r>
      <w:r>
        <w:rPr>
          <w:rFonts w:ascii="Montserrat" w:cs="Montserrat" w:eastAsia="Montserrat" w:hAnsi="Montserrat"/>
          <w:b/>
          <w:bCs/>
          <w:color w:val="C9AB4C"/>
          <w:sz w:val="40"/>
          <w:szCs w:val="40"/>
        </w:rPr>
        <w:t xml:space="preserve">  FORMATIONS</w:t>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Note interne — ne pas transmettre</w:t>
      </w:r>
    </w:p>
    <w:p>
      <w:pPr>
        <w:spacing w:after="160"/>
      </w:pPr>
      <w:r>
        <w:rPr>
          <w:rFonts w:ascii="Montserrat" w:cs="Montserrat" w:eastAsia="Montserrat" w:hAnsi="Montserrat"/>
          <w:b/>
          <w:bCs/>
          <w:color w:val="1B3A6B"/>
          <w:sz w:val="32"/>
          <w:szCs w:val="32"/>
        </w:rPr>
        <w:t xml:space="preserve">Partenaires à solliciter pour l’agrément ou l’habilitation des trois certifications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Usage</w:t>
            </w:r>
          </w:p>
        </w:tc>
        <w:tc>
          <w:tcPr>
            <w:tcW w:type="dxa" w:w="7038"/>
            <w:tcMar>
              <w:top w:type="dxa" w:w="60"/>
              <w:left w:type="dxa" w:w="90"/>
              <w:bottom w:type="dxa" w:w="60"/>
              <w:right w:type="dxa" w:w="90"/>
            </w:tcMar>
          </w:tcPr>
          <w:p>
            <w:pPr>
              <w:spacing w:after="40"/>
            </w:pPr>
            <w:r>
              <w:rPr>
                <w:rFonts w:ascii="Inter" w:cs="Inter" w:eastAsia="Inter" w:hAnsi="Inter"/>
              </w:rPr>
              <w:t xml:space="preserve">Document de travail interne — ne pas joindre au dossier DEETS</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Objet</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Identifier, pour le MEM, le Product Builder No-Code et le Responsable RH, l’interlocuteur, la démarche, le calendrier et les risques.</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Rédigé pour</w:t>
            </w:r>
          </w:p>
        </w:tc>
        <w:tc>
          <w:tcPr>
            <w:tcW w:type="dxa" w:w="7038"/>
            <w:tcMar>
              <w:top w:type="dxa" w:w="60"/>
              <w:left w:type="dxa" w:w="90"/>
              <w:bottom w:type="dxa" w:w="60"/>
              <w:right w:type="dxa" w:w="90"/>
            </w:tcMar>
          </w:tcPr>
          <w:p>
            <w:pPr>
              <w:spacing w:after="40"/>
            </w:pPr>
            <w:r>
              <w:rPr>
                <w:rFonts w:ascii="Inter" w:cs="Inter" w:eastAsia="Inter" w:hAnsi="Inter"/>
              </w:rPr>
              <w:t xml:space="preserve">Aurélien LUMEKA, Directeur</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Version</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Version 2 du 28/10/2026</w:t>
            </w:r>
          </w:p>
        </w:tc>
      </w:tr>
    </w:tbl>
    <w:p>
      <w:pPr>
        <w:spacing w:after="80"/>
      </w:pPr>
    </w:p>
    <w:p>
      <w:pPr>
        <w:pStyle w:val="Heading1"/>
        <w:keepNext/>
        <w:spacing w:after="140" w:before="300"/>
      </w:pPr>
      <w:r>
        <w:rPr>
          <w:rFonts w:ascii="Montserrat" w:cs="Montserrat" w:eastAsia="Montserrat" w:hAnsi="Montserrat"/>
        </w:rPr>
        <w:t xml:space="preserve">1. Vue d’ensemble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2400"/>
        <w:gridCol w:w="2500"/>
        <w:gridCol w:w="2138"/>
      </w:tblGrid>
      <w:tr>
        <w:trPr>
          <w:tblHeader/>
        </w:trPr>
        <w:tc>
          <w:tcPr>
            <w:tcW w:type="dxa" w:w="26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Certification</w:t>
            </w:r>
          </w:p>
        </w:tc>
        <w:tc>
          <w:tcPr>
            <w:tcW w:type="dxa" w:w="24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Partenaire à solliciter</w:t>
            </w:r>
          </w:p>
        </w:tc>
        <w:tc>
          <w:tcPr>
            <w:tcW w:type="dxa" w:w="25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Démarche</w:t>
            </w:r>
          </w:p>
        </w:tc>
        <w:tc>
          <w:tcPr>
            <w:tcW w:type="dxa" w:w="21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Échéance</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TP Manager d’établissement marchand — RNCP 41853, niveau 5</w:t>
            </w:r>
          </w:p>
        </w:tc>
        <w:tc>
          <w:tcPr>
            <w:tcW w:type="dxa" w:w="2400"/>
            <w:tcMar>
              <w:top w:type="dxa" w:w="60"/>
              <w:left w:type="dxa" w:w="90"/>
              <w:bottom w:type="dxa" w:w="60"/>
              <w:right w:type="dxa" w:w="90"/>
            </w:tcMar>
          </w:tcPr>
          <w:p>
            <w:pPr>
              <w:spacing w:after="40"/>
            </w:pPr>
            <w:r>
              <w:rPr>
                <w:rFonts w:ascii="Inter" w:cs="Inter" w:eastAsia="Inter" w:hAnsi="Inter"/>
              </w:rPr>
              <w:t xml:space="preserve">DEETS La Réunion (le titre appartient au ministère du Travail)</w:t>
            </w:r>
          </w:p>
        </w:tc>
        <w:tc>
          <w:tcPr>
            <w:tcW w:type="dxa" w:w="2500"/>
            <w:tcMar>
              <w:top w:type="dxa" w:w="60"/>
              <w:left w:type="dxa" w:w="90"/>
              <w:bottom w:type="dxa" w:w="60"/>
              <w:right w:type="dxa" w:w="90"/>
            </w:tcMar>
          </w:tcPr>
          <w:p>
            <w:pPr>
              <w:spacing w:after="40"/>
            </w:pPr>
            <w:r>
              <w:rPr>
                <w:rFonts w:ascii="Inter" w:cs="Inter" w:eastAsia="Inter" w:hAnsi="Inter"/>
                <w:b/>
                <w:bCs/>
              </w:rPr>
              <w:t xml:space="preserve">Agrément</w:t>
            </w:r>
            <w:r>
              <w:rPr>
                <w:rFonts w:ascii="Inter" w:cs="Inter" w:eastAsia="Inter" w:hAnsi="Inter"/>
              </w:rPr>
              <w:t xml:space="preserve"> pour organiser les sessions de validation, demandé en ligne</w:t>
            </w:r>
          </w:p>
        </w:tc>
        <w:tc>
          <w:tcPr>
            <w:tcW w:type="dxa" w:w="2138"/>
            <w:tcMar>
              <w:top w:type="dxa" w:w="60"/>
              <w:left w:type="dxa" w:w="90"/>
              <w:bottom w:type="dxa" w:w="60"/>
              <w:right w:type="dxa" w:w="90"/>
            </w:tcMar>
          </w:tcPr>
          <w:p>
            <w:pPr>
              <w:spacing w:after="40"/>
            </w:pPr>
            <w:r>
              <w:rPr>
                <w:rFonts w:ascii="Inter" w:cs="Inter" w:eastAsia="Inter" w:hAnsi="Inter"/>
              </w:rPr>
              <w:t xml:space="preserve">Au moins 6 mois avant la session, soit avant fin juillet 2027 ; dépôt conseillé au 1er trimestre 2027</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Product Builder No-Code — RNCP 39108, niveau 6</w:t>
            </w:r>
          </w:p>
        </w:tc>
        <w:tc>
          <w:tcPr>
            <w:tcW w:type="dxa" w:w="2400"/>
            <w:shd w:fill="EEF1F6" w:color="auto" w:val="clear"/>
            <w:tcMar>
              <w:top w:type="dxa" w:w="60"/>
              <w:left w:type="dxa" w:w="90"/>
              <w:bottom w:type="dxa" w:w="60"/>
              <w:right w:type="dxa" w:w="90"/>
            </w:tcMar>
          </w:tcPr>
          <w:p>
            <w:pPr>
              <w:spacing w:after="40"/>
            </w:pPr>
            <w:r>
              <w:rPr>
                <w:rFonts w:ascii="Inter" w:cs="Inter" w:eastAsia="Inter" w:hAnsi="Inter"/>
              </w:rPr>
              <w:t xml:space="preserve">L’École pour tous (nom commercial : École Cube), certificateur</w:t>
            </w:r>
          </w:p>
        </w:tc>
        <w:tc>
          <w:tcPr>
            <w:tcW w:type="dxa" w:w="2500"/>
            <w:shd w:fill="EEF1F6" w:color="auto" w:val="clear"/>
            <w:tcMar>
              <w:top w:type="dxa" w:w="60"/>
              <w:left w:type="dxa" w:w="90"/>
              <w:bottom w:type="dxa" w:w="60"/>
              <w:right w:type="dxa" w:w="90"/>
            </w:tcMar>
          </w:tcPr>
          <w:p>
            <w:pPr>
              <w:spacing w:after="40"/>
            </w:pPr>
            <w:r>
              <w:rPr>
                <w:rFonts w:ascii="Inter" w:cs="Inter" w:eastAsia="Inter" w:hAnsi="Inter"/>
                <w:b/>
                <w:bCs/>
              </w:rPr>
              <w:t xml:space="preserve">Convention de partenariat</w:t>
            </w:r>
            <w:r>
              <w:rPr>
                <w:rFonts w:ascii="Inter" w:cs="Inter" w:eastAsia="Inter" w:hAnsi="Inter"/>
              </w:rPr>
              <w:t xml:space="preserve"> (habilitation à préparer et/ou organiser l’évaluation)</w:t>
            </w:r>
          </w:p>
        </w:tc>
        <w:tc>
          <w:tcPr>
            <w:tcW w:type="dxa" w:w="2138"/>
            <w:shd w:fill="EEF1F6" w:color="auto" w:val="clear"/>
            <w:tcMar>
              <w:top w:type="dxa" w:w="60"/>
              <w:left w:type="dxa" w:w="90"/>
              <w:bottom w:type="dxa" w:w="60"/>
              <w:right w:type="dxa" w:w="90"/>
            </w:tcMar>
          </w:tcPr>
          <w:p>
            <w:pPr>
              <w:spacing w:after="40"/>
            </w:pPr>
            <w:r>
              <w:rPr>
                <w:rFonts w:ascii="Inter" w:cs="Inter" w:eastAsia="Inter" w:hAnsi="Inter"/>
              </w:rPr>
              <w:t xml:space="preserve">Avant de signer les premiers contrats (décembre 2026 – janvier 2027)</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Responsable ressources humaines — RNCP 38442, niveau 6</w:t>
            </w:r>
          </w:p>
        </w:tc>
        <w:tc>
          <w:tcPr>
            <w:tcW w:type="dxa" w:w="2400"/>
            <w:tcMar>
              <w:top w:type="dxa" w:w="60"/>
              <w:left w:type="dxa" w:w="90"/>
              <w:bottom w:type="dxa" w:w="60"/>
              <w:right w:type="dxa" w:w="90"/>
            </w:tcMar>
          </w:tcPr>
          <w:p>
            <w:pPr>
              <w:spacing w:after="40"/>
            </w:pPr>
            <w:r>
              <w:rPr>
                <w:rFonts w:ascii="Inter" w:cs="Inter" w:eastAsia="Inter" w:hAnsi="Inter"/>
              </w:rPr>
              <w:t xml:space="preserve">Cnam (Conservatoire national des arts et métiers) ; point d’entrée local : Cnam La Réunion</w:t>
            </w:r>
          </w:p>
        </w:tc>
        <w:tc>
          <w:tcPr>
            <w:tcW w:type="dxa" w:w="2500"/>
            <w:tcMar>
              <w:top w:type="dxa" w:w="60"/>
              <w:left w:type="dxa" w:w="90"/>
              <w:bottom w:type="dxa" w:w="60"/>
              <w:right w:type="dxa" w:w="90"/>
            </w:tcMar>
          </w:tcPr>
          <w:p>
            <w:pPr>
              <w:spacing w:after="40"/>
            </w:pPr>
            <w:r>
              <w:rPr>
                <w:rFonts w:ascii="Inter" w:cs="Inter" w:eastAsia="Inter" w:hAnsi="Inter"/>
                <w:b/>
                <w:bCs/>
              </w:rPr>
              <w:t xml:space="preserve">Convention de partenariat</w:t>
            </w:r>
            <w:r>
              <w:rPr>
                <w:rFonts w:ascii="Inter" w:cs="Inter" w:eastAsia="Inter" w:hAnsi="Inter"/>
              </w:rPr>
              <w:t xml:space="preserve">, si le Cnam l’autorise</w:t>
            </w:r>
          </w:p>
        </w:tc>
        <w:tc>
          <w:tcPr>
            <w:tcW w:type="dxa" w:w="2138"/>
            <w:tcMar>
              <w:top w:type="dxa" w:w="60"/>
              <w:left w:type="dxa" w:w="90"/>
              <w:bottom w:type="dxa" w:w="60"/>
              <w:right w:type="dxa" w:w="90"/>
            </w:tcMar>
          </w:tcPr>
          <w:p>
            <w:pPr>
              <w:spacing w:after="40"/>
            </w:pPr>
            <w:r>
              <w:rPr>
                <w:rFonts w:ascii="Inter" w:cs="Inter" w:eastAsia="Inter" w:hAnsi="Inter"/>
              </w:rPr>
              <w:t xml:space="preserve">Avant de signer les premiers contrats</w:t>
            </w:r>
          </w:p>
        </w:tc>
      </w:tr>
    </w:tbl>
    <w:p>
      <w:pPr>
        <w:spacing w:after="80"/>
      </w:pPr>
    </w:p>
    <w:p>
      <w:pPr>
        <w:pStyle w:val="Heading1"/>
        <w:keepNext/>
        <w:spacing w:after="140" w:before="300"/>
      </w:pPr>
      <w:r>
        <w:rPr>
          <w:rFonts w:ascii="Montserrat" w:cs="Montserrat" w:eastAsia="Montserrat" w:hAnsi="Montserrat"/>
        </w:rPr>
        <w:t xml:space="preserve">2. MEM — agrément de la DEETS La Réunion</w:t>
      </w:r>
    </w:p>
    <w:p>
      <w:pPr>
        <w:pStyle w:val="ListParagraph"/>
        <w:numPr>
          <w:ilvl w:val="0"/>
          <w:numId w:val="2"/>
        </w:numPr>
        <w:spacing w:after="60" w:line="276"/>
      </w:pPr>
      <w:r>
        <w:rPr>
          <w:rFonts w:ascii="Inter" w:cs="Inter" w:eastAsia="Inter" w:hAnsi="Inter"/>
        </w:rPr>
        <w:t xml:space="preserve">Le titre professionnel MEM (RNCP 41853) est délivré par le ministère du Travail ; sa fiche est valable jusqu’au 02/03/2031. Il comprend 3 CCP : manager l’équipe de son périmètre ; développer la dynamique commerciale de son périmètre ; contribuer à la performance commerciale et à la rentabilité de son périmètre.</w:t>
      </w:r>
    </w:p>
    <w:p>
      <w:pPr>
        <w:pStyle w:val="ListParagraph"/>
        <w:numPr>
          <w:ilvl w:val="0"/>
          <w:numId w:val="2"/>
        </w:numPr>
        <w:spacing w:after="60" w:line="276"/>
      </w:pPr>
      <w:r>
        <w:rPr>
          <w:rFonts w:ascii="Inter" w:cs="Inter" w:eastAsia="Inter" w:hAnsi="Inter"/>
        </w:rPr>
        <w:t xml:space="preserve">L’organisme qui veut faire passer le titre doit être </w:t>
      </w:r>
      <w:r>
        <w:rPr>
          <w:rFonts w:ascii="Inter" w:cs="Inter" w:eastAsia="Inter" w:hAnsi="Inter"/>
          <w:b/>
          <w:bCs/>
        </w:rPr>
        <w:t xml:space="preserve">agréé par la DEETS</w:t>
      </w:r>
      <w:r>
        <w:rPr>
          <w:rFonts w:ascii="Inter" w:cs="Inter" w:eastAsia="Inter" w:hAnsi="Inter"/>
        </w:rPr>
        <w:t xml:space="preserve"> (Réunion) pour un titre, un lieu et une durée donnés. Textes cités par les formulaires des DREETS : arrêté du 22 décembre 2015 et arrêtés du 21 juillet 2016 (modalités d’agrément, règlement général des sessions).</w:t>
      </w:r>
    </w:p>
    <w:p>
      <w:pPr>
        <w:pStyle w:val="ListParagraph"/>
        <w:numPr>
          <w:ilvl w:val="0"/>
          <w:numId w:val="2"/>
        </w:numPr>
        <w:spacing w:after="60" w:line="276"/>
      </w:pPr>
      <w:r>
        <w:rPr>
          <w:rFonts w:ascii="Inter" w:cs="Inter" w:eastAsia="Inter" w:hAnsi="Inter"/>
        </w:rPr>
        <w:t xml:space="preserve">Démarche à La Réunion : formulaire en ligne « DEETS 974 — demande d’agrément pour organiser des sessions » sur demarche.numerique.gouv.fr. Dépôt </w:t>
      </w:r>
      <w:r>
        <w:rPr>
          <w:rFonts w:ascii="Inter" w:cs="Inter" w:eastAsia="Inter" w:hAnsi="Inter"/>
          <w:b/>
          <w:bCs/>
        </w:rPr>
        <w:t xml:space="preserve">au plus tard 6 mois avant la session</w:t>
      </w:r>
      <w:r>
        <w:rPr>
          <w:rFonts w:ascii="Inter" w:cs="Inter" w:eastAsia="Inter" w:hAnsi="Inter"/>
        </w:rPr>
        <w:t xml:space="preserve"> et 3 mois avant la fin d’un agrément en cours.</w:t>
      </w:r>
    </w:p>
    <w:p>
      <w:pPr>
        <w:pStyle w:val="ListParagraph"/>
        <w:numPr>
          <w:ilvl w:val="0"/>
          <w:numId w:val="2"/>
        </w:numPr>
        <w:spacing w:after="60" w:line="276"/>
      </w:pPr>
      <w:r>
        <w:rPr>
          <w:rFonts w:ascii="Inter" w:cs="Inter" w:eastAsia="Inter" w:hAnsi="Inter"/>
        </w:rPr>
        <w:t xml:space="preserve">Éléments généralement demandés </w:t>
      </w:r>
      <w:r>
        <w:rPr>
          <w:rFonts w:ascii="Inter" w:cs="Inter" w:eastAsia="Inter" w:hAnsi="Inter"/>
          <w:b/>
          <w:bCs/>
          <w:highlight w:val="yellow"/>
          <w:highlightCs w:val="yellow"/>
        </w:rPr>
        <w:t xml:space="preserve">[à vérifier sur le formulaire]</w:t>
      </w:r>
      <w:r>
        <w:rPr>
          <w:rFonts w:ascii="Inter" w:cs="Inter" w:eastAsia="Inter" w:hAnsi="Inter"/>
        </w:rPr>
        <w:t xml:space="preserve"> : plateau technique conforme au référentiel, compétences des formateurs, organisation des sessions, liste des membres du jury pressentis (professionnels habilités).</w:t>
      </w:r>
    </w:p>
    <w:p>
      <w:pPr>
        <w:pStyle w:val="ListParagraph"/>
        <w:numPr>
          <w:ilvl w:val="0"/>
          <w:numId w:val="2"/>
        </w:numPr>
        <w:spacing w:after="60" w:line="276"/>
      </w:pPr>
      <w:r>
        <w:rPr>
          <w:rFonts w:ascii="Inter" w:cs="Inter" w:eastAsia="Inter" w:hAnsi="Inter"/>
        </w:rPr>
        <w:t xml:space="preserve">Atout : vous êtes déjà en relation avec la DEETS pour ce dossier. Demandez lors de votre prochain échange le contact du </w:t>
      </w:r>
      <w:r>
        <w:rPr>
          <w:rFonts w:ascii="Inter" w:cs="Inter" w:eastAsia="Inter" w:hAnsi="Inter"/>
          <w:b/>
          <w:bCs/>
        </w:rPr>
        <w:t xml:space="preserve">service chargé des titres professionnels</w:t>
      </w:r>
      <w:r>
        <w:rPr>
          <w:rFonts w:ascii="Inter" w:cs="Inter" w:eastAsia="Inter" w:hAnsi="Inter"/>
        </w:rPr>
        <w:t xml:space="preserve"> et un rendez-vous préalable.</w:t>
      </w:r>
    </w:p>
    <w:p>
      <w:pPr>
        <w:pStyle w:val="ListParagraph"/>
        <w:numPr>
          <w:ilvl w:val="0"/>
          <w:numId w:val="2"/>
        </w:numPr>
        <w:spacing w:after="60" w:line="276"/>
      </w:pPr>
      <w:r>
        <w:rPr>
          <w:rFonts w:ascii="Inter" w:cs="Inter" w:eastAsia="Inter" w:hAnsi="Inter"/>
        </w:rPr>
        <w:t xml:space="preserve">Alternative si l’agrément tarde : faire passer la session dans un centre déjà agréé pour le MEM à La Réunion </w:t>
      </w:r>
      <w:r>
        <w:rPr>
          <w:rFonts w:ascii="Inter" w:cs="Inter" w:eastAsia="Inter" w:hAnsi="Inter"/>
          <w:b/>
          <w:bCs/>
          <w:highlight w:val="yellow"/>
          <w:highlightCs w:val="yellow"/>
        </w:rPr>
        <w:t xml:space="preserve">[à identifier]</w:t>
      </w:r>
      <w:r>
        <w:rPr>
          <w:rFonts w:ascii="Inter" w:cs="Inter" w:eastAsia="Inter" w:hAnsi="Inter"/>
        </w:rPr>
        <w:t xml:space="preserve">.</w:t>
      </w:r>
    </w:p>
    <w:p>
      <w:pPr>
        <w:pStyle w:val="Heading1"/>
        <w:keepNext/>
        <w:spacing w:after="140" w:before="300"/>
      </w:pPr>
      <w:r>
        <w:rPr>
          <w:rFonts w:ascii="Montserrat" w:cs="Montserrat" w:eastAsia="Montserrat" w:hAnsi="Montserrat"/>
        </w:rPr>
        <w:t xml:space="preserve">3. Product Builder No-Code — École Cube</w:t>
      </w:r>
    </w:p>
    <w:p>
      <w:pPr>
        <w:pStyle w:val="ListParagraph"/>
        <w:numPr>
          <w:ilvl w:val="0"/>
          <w:numId w:val="2"/>
        </w:numPr>
        <w:spacing w:after="60" w:line="276"/>
      </w:pPr>
      <w:r>
        <w:rPr>
          <w:rFonts w:ascii="Inter" w:cs="Inter" w:eastAsia="Inter" w:hAnsi="Inter"/>
        </w:rPr>
        <w:t xml:space="preserve">Fiche RNCP 39108, niveau 6, certificateur : L’École pour tous (École Cube) ; </w:t>
      </w:r>
      <w:r>
        <w:rPr>
          <w:rFonts w:ascii="Inter" w:cs="Inter" w:eastAsia="Inter" w:hAnsi="Inter"/>
          <w:b/>
          <w:bCs/>
        </w:rPr>
        <w:t xml:space="preserve">échéance de l’enregistrement : 31/05/2027</w:t>
      </w:r>
      <w:r>
        <w:rPr>
          <w:rFonts w:ascii="Inter" w:cs="Inter" w:eastAsia="Inter" w:hAnsi="Inter"/>
        </w:rPr>
        <w:t xml:space="preserve">.</w:t>
      </w:r>
    </w:p>
    <w:p>
      <w:pPr>
        <w:pStyle w:val="ListParagraph"/>
        <w:numPr>
          <w:ilvl w:val="0"/>
          <w:numId w:val="2"/>
        </w:numPr>
        <w:spacing w:after="60" w:line="276"/>
      </w:pPr>
      <w:r>
        <w:rPr>
          <w:rFonts w:ascii="Inter" w:cs="Inter" w:eastAsia="Inter" w:hAnsi="Inter"/>
        </w:rPr>
        <w:t xml:space="preserve">D’autres fiches « Product builder no-code » existent avec d’autres certificateurs, dont une fiche RNCP 42191 portée par Le Wagon (décision de France Compétences du 30/04/2026, selon une page de Studi) : c’est une solution de repli si l’École Cube refuse le partenariat ou ne renouvelle pas sa fiche.</w:t>
      </w:r>
    </w:p>
    <w:p>
      <w:pPr>
        <w:pStyle w:val="ListParagraph"/>
        <w:numPr>
          <w:ilvl w:val="0"/>
          <w:numId w:val="2"/>
        </w:numPr>
        <w:spacing w:after="60" w:line="276"/>
      </w:pPr>
      <w:r>
        <w:rPr>
          <w:rFonts w:ascii="Inter" w:cs="Inter" w:eastAsia="Inter" w:hAnsi="Inter"/>
        </w:rPr>
        <w:t xml:space="preserve">À demander à l’École Cube : conditions d’habilitation des organismes partenaires, coût par candidat, référentiel d’activités, de compétences et d’évaluation, intitulés exacts des blocs, calendrier des jurys, </w:t>
      </w:r>
      <w:r>
        <w:rPr>
          <w:rFonts w:ascii="Inter" w:cs="Inter" w:eastAsia="Inter" w:hAnsi="Inter"/>
          <w:b/>
          <w:bCs/>
        </w:rPr>
        <w:t xml:space="preserve">état du renouvellement de la fiche</w:t>
      </w:r>
      <w:r>
        <w:rPr>
          <w:rFonts w:ascii="Inter" w:cs="Inter" w:eastAsia="Inter" w:hAnsi="Inter"/>
        </w:rPr>
        <w:t xml:space="preserve"> et sort des candidats inscrits avant l’échéance.</w:t>
      </w:r>
    </w:p>
    <w:p>
      <w:pPr>
        <w:pStyle w:val="ListParagraph"/>
        <w:numPr>
          <w:ilvl w:val="0"/>
          <w:numId w:val="2"/>
        </w:numPr>
        <w:spacing w:after="60" w:line="276"/>
      </w:pPr>
      <w:r>
        <w:rPr>
          <w:rFonts w:ascii="Inter" w:cs="Inter" w:eastAsia="Inter" w:hAnsi="Inter"/>
        </w:rPr>
        <w:t xml:space="preserve">Argument : vous apportez un ancrage à La Réunion et une expertise IA / RGPD / IA Act, utile pour le bloc données, sécurité et conformité.</w:t>
      </w:r>
    </w:p>
    <w:p>
      <w:pPr>
        <w:pStyle w:val="Heading1"/>
        <w:keepNext/>
        <w:spacing w:after="140" w:before="300"/>
      </w:pPr>
      <w:r>
        <w:rPr>
          <w:rFonts w:ascii="Montserrat" w:cs="Montserrat" w:eastAsia="Montserrat" w:hAnsi="Montserrat"/>
        </w:rPr>
        <w:t xml:space="preserve">4. Responsable RH — Cnam (RNCP 38442)</w:t>
      </w:r>
    </w:p>
    <w:p>
      <w:pPr>
        <w:pStyle w:val="ListParagraph"/>
        <w:numPr>
          <w:ilvl w:val="0"/>
          <w:numId w:val="2"/>
        </w:numPr>
        <w:spacing w:after="60" w:line="276"/>
      </w:pPr>
      <w:r>
        <w:rPr>
          <w:rFonts w:ascii="Inter" w:cs="Inter" w:eastAsia="Inter" w:hAnsi="Inter"/>
        </w:rPr>
        <w:t xml:space="preserve">Fiche RNCP 38442, niveau 6, certificateur : Cnam ; échéance de l’enregistrement : 21/12/2028.</w:t>
      </w:r>
    </w:p>
    <w:p>
      <w:pPr>
        <w:pStyle w:val="ListParagraph"/>
        <w:numPr>
          <w:ilvl w:val="0"/>
          <w:numId w:val="2"/>
        </w:numPr>
        <w:spacing w:after="60" w:line="276"/>
      </w:pPr>
      <w:r>
        <w:rPr>
          <w:rFonts w:ascii="Inter" w:cs="Inter" w:eastAsia="Inter" w:hAnsi="Inter"/>
        </w:rPr>
        <w:t xml:space="preserve">Conditions d’accès indiquées par le Cnam : entrée directe avec un bac+3 en RH ; avec un bac+2 ou bac+3 d’un autre domaine, sous conditions (certificat de compétence en paie ou assistanat RH) ; prérequis ou unités complémentaires pour les autres profils. Ces conditions limitent le public recrutable : à intégrer dans vos annonces.</w:t>
      </w:r>
    </w:p>
    <w:p>
      <w:pPr>
        <w:pStyle w:val="ListParagraph"/>
        <w:numPr>
          <w:ilvl w:val="0"/>
          <w:numId w:val="2"/>
        </w:numPr>
        <w:spacing w:after="60" w:line="276"/>
      </w:pPr>
      <w:r>
        <w:rPr>
          <w:rFonts w:ascii="Inter" w:cs="Inter" w:eastAsia="Inter" w:hAnsi="Inter"/>
          <w:b/>
          <w:bCs/>
        </w:rPr>
        <w:t xml:space="preserve">Risque principal</w:t>
      </w:r>
      <w:r>
        <w:rPr>
          <w:rFonts w:ascii="Inter" w:cs="Inter" w:eastAsia="Inter" w:hAnsi="Inter"/>
        </w:rPr>
        <w:t xml:space="preserve"> : les certifications du Cnam sont généralement préparées dans le réseau Cnam. Il faut vérifier auprès du Cnam (centre de La Réunion, puis équipe nationale) qu’un organisme extérieur peut préparer cette certification par convention.</w:t>
      </w:r>
    </w:p>
    <w:p>
      <w:pPr>
        <w:pStyle w:val="ListParagraph"/>
        <w:numPr>
          <w:ilvl w:val="0"/>
          <w:numId w:val="2"/>
        </w:numPr>
        <w:spacing w:after="60" w:line="276"/>
      </w:pPr>
      <w:r>
        <w:rPr>
          <w:rFonts w:ascii="Inter" w:cs="Inter" w:eastAsia="Inter" w:hAnsi="Inter"/>
        </w:rPr>
        <w:t xml:space="preserve">Repli : plusieurs autres fiches « Responsable ressources humaines » de niveau 6 existent (certificateurs différents). Si le Cnam refuse, choisir un certificateur qui pratique les partenariats, en vérifiant que la fiche est </w:t>
      </w:r>
      <w:r>
        <w:rPr>
          <w:rFonts w:ascii="Inter" w:cs="Inter" w:eastAsia="Inter" w:hAnsi="Inter"/>
          <w:b/>
          <w:bCs/>
        </w:rPr>
        <w:t xml:space="preserve">active</w:t>
      </w:r>
      <w:r>
        <w:rPr>
          <w:rFonts w:ascii="Inter" w:cs="Inter" w:eastAsia="Inter" w:hAnsi="Inter"/>
        </w:rPr>
        <w:t xml:space="preserve">, valable au-delà de février 2028 et ouverte à l’apprentissage.</w:t>
      </w:r>
    </w:p>
    <w:p>
      <w:pPr>
        <w:pStyle w:val="Heading1"/>
        <w:keepNext/>
        <w:spacing w:after="140" w:before="300"/>
      </w:pPr>
      <w:r>
        <w:rPr>
          <w:rFonts w:ascii="Montserrat" w:cs="Montserrat" w:eastAsia="Montserrat" w:hAnsi="Montserrat"/>
        </w:rPr>
        <w:t xml:space="preserve">5. Questions à poser à chaque certificateur</w:t>
      </w:r>
    </w:p>
    <w:p>
      <w:pPr>
        <w:pStyle w:val="ListParagraph"/>
        <w:numPr>
          <w:ilvl w:val="0"/>
          <w:numId w:val="3"/>
        </w:numPr>
        <w:spacing w:after="60" w:line="276"/>
      </w:pPr>
      <w:r>
        <w:rPr>
          <w:rFonts w:ascii="Inter" w:cs="Inter" w:eastAsia="Inter" w:hAnsi="Inter"/>
        </w:rPr>
        <w:t xml:space="preserve">Acceptez-vous des organismes partenaires pour préparer la certification en </w:t>
      </w:r>
      <w:r>
        <w:rPr>
          <w:rFonts w:ascii="Inter" w:cs="Inter" w:eastAsia="Inter" w:hAnsi="Inter"/>
          <w:b/>
          <w:bCs/>
        </w:rPr>
        <w:t xml:space="preserve">apprentissage</w:t>
      </w:r>
      <w:r>
        <w:rPr>
          <w:rFonts w:ascii="Inter" w:cs="Inter" w:eastAsia="Inter" w:hAnsi="Inter"/>
        </w:rPr>
        <w:t xml:space="preserve"> ? Dans quelles conditions (convention, audit, droits d’inscription) ?</w:t>
      </w:r>
    </w:p>
    <w:p>
      <w:pPr>
        <w:pStyle w:val="ListParagraph"/>
        <w:numPr>
          <w:ilvl w:val="0"/>
          <w:numId w:val="3"/>
        </w:numPr>
        <w:spacing w:after="60" w:line="276"/>
      </w:pPr>
      <w:r>
        <w:rPr>
          <w:rFonts w:ascii="Inter" w:cs="Inter" w:eastAsia="Inter" w:hAnsi="Inter"/>
        </w:rPr>
        <w:t xml:space="preserve">Quel est le référentiel d’évaluation, et qui organise les épreuves et le jury ?</w:t>
      </w:r>
    </w:p>
    <w:p>
      <w:pPr>
        <w:pStyle w:val="ListParagraph"/>
        <w:numPr>
          <w:ilvl w:val="0"/>
          <w:numId w:val="3"/>
        </w:numPr>
        <w:spacing w:after="60" w:line="276"/>
      </w:pPr>
      <w:r>
        <w:rPr>
          <w:rFonts w:ascii="Inter" w:cs="Inter" w:eastAsia="Inter" w:hAnsi="Inter"/>
        </w:rPr>
        <w:t xml:space="preserve">Quelles exigences fixez-vous pour les formateurs et les locaux ?</w:t>
      </w:r>
    </w:p>
    <w:p>
      <w:pPr>
        <w:pStyle w:val="ListParagraph"/>
        <w:numPr>
          <w:ilvl w:val="0"/>
          <w:numId w:val="3"/>
        </w:numPr>
        <w:spacing w:after="60" w:line="276"/>
      </w:pPr>
      <w:r>
        <w:rPr>
          <w:rFonts w:ascii="Inter" w:cs="Inter" w:eastAsia="Inter" w:hAnsi="Inter"/>
        </w:rPr>
        <w:t xml:space="preserve">Quel est le volume horaire recommandé ?</w:t>
      </w:r>
    </w:p>
    <w:p>
      <w:pPr>
        <w:pStyle w:val="ListParagraph"/>
        <w:numPr>
          <w:ilvl w:val="0"/>
          <w:numId w:val="3"/>
        </w:numPr>
        <w:spacing w:after="60" w:line="276"/>
      </w:pPr>
      <w:r>
        <w:rPr>
          <w:rFonts w:ascii="Inter" w:cs="Inter" w:eastAsia="Inter" w:hAnsi="Inter"/>
        </w:rPr>
        <w:t xml:space="preserve">La fiche sera-t-elle renouvelée ? Que deviennent les candidats en cours de formation à l’échéance ?</w:t>
      </w:r>
    </w:p>
    <w:p>
      <w:pPr>
        <w:pStyle w:val="ListParagraph"/>
        <w:numPr>
          <w:ilvl w:val="0"/>
          <w:numId w:val="3"/>
        </w:numPr>
        <w:spacing w:after="60" w:line="276"/>
      </w:pPr>
      <w:r>
        <w:rPr>
          <w:rFonts w:ascii="Inter" w:cs="Inter" w:eastAsia="Inter" w:hAnsi="Inter"/>
        </w:rPr>
        <w:t xml:space="preserve">Pouvez-vous nous remettre une lettre d’engagement à joindre au dossier DEETS ?</w:t>
      </w:r>
    </w:p>
    <w:p>
      <w:pPr>
        <w:pStyle w:val="Heading1"/>
        <w:keepNext/>
        <w:spacing w:after="140" w:before="300"/>
      </w:pPr>
      <w:r>
        <w:rPr>
          <w:rFonts w:ascii="Montserrat" w:cs="Montserrat" w:eastAsia="Montserrat" w:hAnsi="Montserrat"/>
        </w:rPr>
        <w:t xml:space="preserve">6. Sources consultées le 28/10/2026</w:t>
      </w:r>
    </w:p>
    <w:p>
      <w:pPr>
        <w:pStyle w:val="ListParagraph"/>
        <w:numPr>
          <w:ilvl w:val="0"/>
          <w:numId w:val="2"/>
        </w:numPr>
        <w:spacing w:after="60" w:line="276"/>
      </w:pPr>
      <w:r>
        <w:rPr>
          <w:rFonts w:ascii="Inter" w:cs="Inter" w:eastAsia="Inter" w:hAnsi="Inter"/>
        </w:rPr>
        <w:t xml:space="preserve">Intercariforef — fiche du TP Manager d’établissement marchand, RNCP 41853 (www.intercariforef.org, certification 120178).</w:t>
      </w:r>
    </w:p>
    <w:p>
      <w:pPr>
        <w:pStyle w:val="ListParagraph"/>
        <w:numPr>
          <w:ilvl w:val="0"/>
          <w:numId w:val="2"/>
        </w:numPr>
        <w:spacing w:after="60" w:line="276"/>
      </w:pPr>
      <w:r>
        <w:rPr>
          <w:rFonts w:ascii="Inter" w:cs="Inter" w:eastAsia="Inter" w:hAnsi="Inter"/>
        </w:rPr>
        <w:t xml:space="preserve">Fiches Carif-Oref 2026 donnant les intitulés des CCP du MEM (www.intercariforef.org).</w:t>
      </w:r>
    </w:p>
    <w:p>
      <w:pPr>
        <w:pStyle w:val="ListParagraph"/>
        <w:numPr>
          <w:ilvl w:val="0"/>
          <w:numId w:val="2"/>
        </w:numPr>
        <w:spacing w:after="60" w:line="276"/>
      </w:pPr>
      <w:r>
        <w:rPr>
          <w:rFonts w:ascii="Inter" w:cs="Inter" w:eastAsia="Inter" w:hAnsi="Inter"/>
        </w:rPr>
        <w:t xml:space="preserve">Démarche en ligne « DEETS 974 — demande d’agrément pour organiser des sessions » (demarche.numerique.gouv.fr) et formulaires d’agrément des DREETS Corse, Nouvelle-Aquitaine et Normandie.</w:t>
      </w:r>
    </w:p>
    <w:p>
      <w:pPr>
        <w:pStyle w:val="ListParagraph"/>
        <w:numPr>
          <w:ilvl w:val="0"/>
          <w:numId w:val="2"/>
        </w:numPr>
        <w:spacing w:after="60" w:line="276"/>
      </w:pPr>
      <w:r>
        <w:rPr>
          <w:rFonts w:ascii="Inter" w:cs="Inter" w:eastAsia="Inter" w:hAnsi="Inter"/>
        </w:rPr>
        <w:t xml:space="preserve">France Compétences — fiches RNCP 39108 et RNCP 38442 (www.francecompetences.fr), telles que rapportées par la recherche web : la consultation directe du site n’a pas été possible depuis cet environnement.</w:t>
      </w:r>
    </w:p>
    <w:p>
      <w:pPr>
        <w:pStyle w:val="ListParagraph"/>
        <w:numPr>
          <w:ilvl w:val="0"/>
          <w:numId w:val="2"/>
        </w:numPr>
        <w:spacing w:after="60" w:line="276"/>
      </w:pPr>
      <w:r>
        <w:rPr>
          <w:rFonts w:ascii="Inter" w:cs="Inter" w:eastAsia="Inter" w:hAnsi="Inter"/>
        </w:rPr>
        <w:t xml:space="preserve">Site de l’École Cube (ecole.cube.fr/formations/no-code) ; Studi (fiche Bachelor AI Product Builder) ; Cnam, fiche Bedeo 6246 (bedeo.cnam.fr).</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pPr>
            <w:r>
              <w:rPr>
                <w:rFonts w:ascii="Inter" w:cs="Inter" w:eastAsia="Inter" w:hAnsi="Inter"/>
                <w:b/>
                <w:bCs/>
              </w:rPr>
              <w:t xml:space="preserve">RGPD</w:t>
            </w:r>
            <w:r>
              <w:rPr>
                <w:rFonts w:ascii="Inter" w:cs="Inter" w:eastAsia="Inter" w:hAnsi="Inter"/>
              </w:rPr>
              <w:t xml:space="preserve"> — Une convention avec un certificateur entraîne la transmission de données des apprentis (identité, résultats). Prévoir dans la convention la répartition des rôles (responsables conjoints ou distincts), la finalité, la sécurité et l’hébergement des données dans l’UE.</w:t>
            </w:r>
          </w:p>
          <w:p>
            <w:pPr>
              <w:spacing w:after="50"/>
            </w:pPr>
            <w:r>
              <w:rPr>
                <w:rFonts w:ascii="Inter" w:cs="Inter" w:eastAsia="Inter" w:hAnsi="Inter"/>
                <w:b/>
                <w:bCs/>
              </w:rPr>
              <w:t xml:space="preserve">IA Act</w:t>
            </w:r>
            <w:r>
              <w:rPr>
                <w:rFonts w:ascii="Inter" w:cs="Inter" w:eastAsia="Inter" w:hAnsi="Inter"/>
              </w:rPr>
              <w:t xml:space="preserve"> — Si un certificateur utilise un outil d’IA pour corriger ou noter des épreuves, il s’agit d’un usage à </w:t>
            </w:r>
            <w:r>
              <w:rPr>
                <w:rFonts w:ascii="Inter" w:cs="Inter" w:eastAsia="Inter" w:hAnsi="Inter"/>
                <w:b/>
                <w:bCs/>
              </w:rPr>
              <w:t xml:space="preserve">haut risque</w:t>
            </w:r>
            <w:r>
              <w:rPr>
                <w:rFonts w:ascii="Inter" w:cs="Inter" w:eastAsia="Inter" w:hAnsi="Inter"/>
              </w:rPr>
              <w:t xml:space="preserve"> (annexe III, point 3) : demandez-le lors des échanges.</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Note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Note interne — Partenaires à solliciter pour l’agrément ou l’habilitation des trois certifications</dc:title>
  <dc:creator>Aurélien LUMEKA</dc:creator>
  <cp:lastModifiedBy>Un-named</cp:lastModifiedBy>
  <cp:revision>1</cp:revision>
  <dcterms:created xsi:type="dcterms:W3CDTF">2026-10-28T13:11:10.333Z</dcterms:created>
  <dcterms:modified xsi:type="dcterms:W3CDTF">2026-10-28T13:11:10.333Z</dcterms:modified>
</cp:coreProperties>
</file>

<file path=docProps/custom.xml><?xml version="1.0" encoding="utf-8"?>
<Properties xmlns="http://schemas.openxmlformats.org/officeDocument/2006/custom-properties" xmlns:vt="http://schemas.openxmlformats.org/officeDocument/2006/docPropsVTypes"/>
</file>