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f9281734e6ab44e1074d32f63f0e5b8fb469de9"/>
    <w:p>
      <w:pPr>
        <w:pStyle w:val="Heading1"/>
      </w:pPr>
      <w:r>
        <w:rPr>
          <w:b/>
          <w:bCs/>
        </w:rPr>
        <w:t xml:space="preserve">Week 34       Epidemiological Bulletin       19–25, Aug, 2024</w:t>
      </w:r>
    </w:p>
    <w:bookmarkStart w:id="20" w:name="summary"/>
    <w:p>
      <w:pPr>
        <w:pStyle w:val="Heading2"/>
      </w:pPr>
      <w:r>
        <w:rPr>
          <w:b/>
          <w:bCs/>
        </w:rPr>
        <w:t xml:space="preserve">Summary</w:t>
      </w:r>
    </w:p>
    <w:p>
      <w:pPr>
        <w:pStyle w:val="FirstParagraph"/>
      </w:pPr>
      <w:r>
        <w:rPr>
          <w:b/>
          <w:bCs/>
        </w:rPr>
        <w:t xml:space="preserve">Executive Summary</w:t>
      </w:r>
    </w:p>
    <w:p>
      <w:pPr>
        <w:pStyle w:val="BodyText"/>
      </w:pPr>
      <w:r>
        <w:t xml:space="preserve">This report highlights the critical public health concerns requiring immediate attention. The detection of the first confirmed AFP case this year signals a potential polio transmission risk. The suspected cholera cases reported in Dire Dawa highlight the urgent need for rapid testing and a faster public health response to prevent further spread. Malaria continues to burden particularly in Amhar, Dire Dawa, Sidama, and Afar regions, with over 144,000 cases reported nationwide.</w:t>
      </w:r>
    </w:p>
    <w:p>
      <w:pPr>
        <w:pStyle w:val="BodyText"/>
      </w:pPr>
      <w:r>
        <w:t xml:space="preserve">Measles outbreaks continue with high confirmation rates, especially in Tigray, Oromia, and the Southwest regions, reflecting serious immunity gaps. At the same time, maternal deaths remain alarmingly high in Sidama, Amhara, and Tigray regions, indicating the urgent need to strengthen emergency obstetric care. Together, these challenges highlight the importance of immediate public health action to prevent further escalation.</w:t>
      </w:r>
    </w:p>
    <w:p>
      <w:pPr>
        <w:pStyle w:val="BodyText"/>
      </w:pPr>
      <w:r>
        <w:rPr>
          <w:b/>
          <w:bCs/>
        </w:rPr>
        <w:t xml:space="preserve">Immediately Notifiable Diseases and Events</w:t>
      </w:r>
    </w:p>
    <w:p>
      <w:pPr>
        <w:numPr>
          <w:ilvl w:val="0"/>
          <w:numId w:val="1001"/>
        </w:numPr>
      </w:pPr>
      <w:r>
        <w:rPr>
          <w:b/>
          <w:bCs/>
        </w:rPr>
        <w:t xml:space="preserve">AFP</w:t>
      </w:r>
      <w:r>
        <w:t xml:space="preserve">: 6 suspected cases were reported from Harari(3), SNNP(1), Amhara(2) regions.</w:t>
      </w:r>
    </w:p>
    <w:p>
      <w:pPr>
        <w:numPr>
          <w:ilvl w:val="0"/>
          <w:numId w:val="1001"/>
        </w:numPr>
      </w:pPr>
      <w:r>
        <w:rPr>
          <w:b/>
          <w:bCs/>
        </w:rPr>
        <w:t xml:space="preserve">Anthrax</w:t>
      </w:r>
      <w:r>
        <w:t xml:space="preserve">: 8 suspected cases were reported from Harari(7), SNNP(1) regions.</w:t>
      </w:r>
    </w:p>
    <w:p>
      <w:pPr>
        <w:numPr>
          <w:ilvl w:val="0"/>
          <w:numId w:val="1001"/>
        </w:numPr>
      </w:pPr>
      <w:r>
        <w:rPr>
          <w:b/>
          <w:bCs/>
        </w:rPr>
        <w:t xml:space="preserve">Cholera</w:t>
      </w:r>
      <w:r>
        <w:t xml:space="preserve">: 4 suspected cases were reported from Dire Dawa(4) regions.</w:t>
      </w:r>
    </w:p>
    <w:p>
      <w:pPr>
        <w:numPr>
          <w:ilvl w:val="0"/>
          <w:numId w:val="1001"/>
        </w:numPr>
      </w:pPr>
      <w:r>
        <w:rPr>
          <w:b/>
          <w:bCs/>
        </w:rPr>
        <w:t xml:space="preserve">Measles</w:t>
      </w:r>
      <w:r>
        <w:t xml:space="preserve">: 28 suspected cases were reported from Sidama(1), SNNP(1), Somali(14), Oromia(2), Amhara(7), Afar(3) regions.</w:t>
      </w:r>
    </w:p>
    <w:p>
      <w:pPr>
        <w:pStyle w:val="FirstParagraph"/>
      </w:pPr>
      <w:r>
        <w:rPr>
          <w:b/>
          <w:bCs/>
        </w:rPr>
        <w:t xml:space="preserve">Other Diseases and Events</w:t>
      </w:r>
    </w:p>
    <w:p>
      <w:pPr>
        <w:pStyle w:val="Compact"/>
        <w:numPr>
          <w:ilvl w:val="0"/>
          <w:numId w:val="1002"/>
        </w:numPr>
      </w:pPr>
      <w:r>
        <w:rPr>
          <w:b/>
          <w:bCs/>
        </w:rPr>
        <w:t xml:space="preserve">Non-bloody Diarrhoea</w:t>
      </w:r>
      <w:r>
        <w:t xml:space="preserve">: 35175 suspected cases were reported from Dire Dawa(3856), Sidama(3828), Harari(5142), SNNP(4163), Benishangul Gumz(1465), Somali(2289), Oromia(2495), Amhara(5419), Afar(1950), Tigray(4568) regions.</w:t>
      </w:r>
    </w:p>
    <w:p>
      <w:pPr>
        <w:pStyle w:val="Compact"/>
        <w:numPr>
          <w:ilvl w:val="0"/>
          <w:numId w:val="1002"/>
        </w:numPr>
      </w:pPr>
      <w:r>
        <w:rPr>
          <w:b/>
          <w:bCs/>
        </w:rPr>
        <w:t xml:space="preserve">Malaria</w:t>
      </w:r>
      <w:r>
        <w:t xml:space="preserve">: 144640 suspected cases were reported from Dire Dawa(23810), Sidama(23453), Harari(2889), SNNP(10414), Benishangul Gumz(7282), Somali(14352), Oromia(4643), Amhara(25239), Afar(22041), Tigray(10517) regions.</w:t>
      </w:r>
    </w:p>
    <w:p>
      <w:pPr>
        <w:pStyle w:val="Compact"/>
        <w:numPr>
          <w:ilvl w:val="0"/>
          <w:numId w:val="1002"/>
        </w:numPr>
      </w:pPr>
      <w:r>
        <w:rPr>
          <w:b/>
          <w:bCs/>
        </w:rPr>
        <w:t xml:space="preserve">Typhoid Fever</w:t>
      </w:r>
      <w:r>
        <w:t xml:space="preserve">:</w:t>
      </w:r>
      <w:r>
        <w:t xml:space="preserve"> </w:t>
      </w:r>
      <w:r>
        <w:rPr>
          <w:b/>
          <w:bCs/>
        </w:rPr>
        <w:t xml:space="preserve">33</w:t>
      </w:r>
      <w:r>
        <w:t xml:space="preserve"> </w:t>
      </w:r>
      <w:r>
        <w:t xml:space="preserve">suspected cases were reported from Dire Dawa(4), Somali(9), Oromia(18), Tigray(2) regions.</w:t>
      </w:r>
    </w:p>
    <w:bookmarkEnd w:id="20"/>
    <w:bookmarkStart w:id="21" w:name="Xbc43189a1a50b6f7773c4b2d472b940488e652f"/>
    <w:p>
      <w:pPr>
        <w:pStyle w:val="Heading2"/>
      </w:pPr>
      <w:r>
        <w:rPr>
          <w:b/>
          <w:bCs/>
        </w:rPr>
        <w:t xml:space="preserve">Summary Report Priority Diseases, Conditions and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0" w:hRule="auto"/>
          <w:tblHeader/>
        </w:trPr>
        header1
        <w:tc>
          <w:tcPr>
            <w:tcBorders>
              <w:bottom w:val="single" w:sz="12"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
            </w:r>
          </w:p>
        </w:tc>
        <w:tc>
          <w:tcPr>
            <w:gridSpan w:val="3"/>
            <w:tcBorders>
              <w:bottom w:val="single" w:sz="12" w:space="0" w:color="FFFFFF"/>
              <w:top w:val="single" w:sz="4"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Week 34</w:t>
            </w:r>
          </w:p>
        </w:tc>
        <w:tc>
          <w:tcPr>
            <w:gridSpan w:val="3"/>
            <w:tcBorders>
              <w:bottom w:val="single" w:sz="12" w:space="0" w:color="FFFFFF"/>
              <w:top w:val="single" w:sz="4" w:space="0" w:color="FFFFFF"/>
              <w:left w:val="none" w:sz="0" w:space="0" w:color="000000"/>
              <w:right w:val="single" w:sz="4" w:space="0" w:color="FFFFFF"/>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Week 1 to 34, Cumulative Total</w:t>
            </w:r>
          </w:p>
        </w:tc>
      </w:tr>
      <w:tr>
        <w:trPr>
          <w:trHeight w:val="577" w:hRule="auto"/>
          <w:tblHeader/>
        </w:trPr>
        header2
        <w:tc>
          <w:tcPr>
            <w:tcBorders>
              <w:bottom w:val="single" w:sz="12" w:space="0" w:color="FFFFFF"/>
              <w:top w:val="single" w:sz="12"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Disease/Event/Condition</w:t>
            </w:r>
          </w:p>
        </w:tc>
        <w:tc>
          <w:tcPr>
            <w:tcBorders>
              <w:bottom w:val="single" w:sz="12" w:space="0" w:color="FFFFFF"/>
              <w:top w:val="single" w:sz="12"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Suspected</w:t>
            </w:r>
          </w:p>
        </w:tc>
        <w:tc>
          <w:tcPr>
            <w:tcBorders>
              <w:bottom w:val="single" w:sz="12" w:space="0" w:color="FFFFFF"/>
              <w:top w:val="single" w:sz="12"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Tested</w:t>
            </w:r>
          </w:p>
        </w:tc>
        <w:tc>
          <w:tcPr>
            <w:tcBorders>
              <w:bottom w:val="single" w:sz="12" w:space="0" w:color="FFFFFF"/>
              <w:top w:val="single" w:sz="12"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Confirmed</w:t>
            </w:r>
          </w:p>
        </w:tc>
        <w:tc>
          <w:tcPr>
            <w:tcBorders>
              <w:bottom w:val="single" w:sz="12" w:space="0" w:color="FFFFFF"/>
              <w:top w:val="single" w:sz="12"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Suspected</w:t>
            </w:r>
          </w:p>
        </w:tc>
        <w:tc>
          <w:tcPr>
            <w:tcBorders>
              <w:bottom w:val="single" w:sz="12" w:space="0" w:color="FFFFFF"/>
              <w:top w:val="single" w:sz="12"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Tested</w:t>
            </w:r>
          </w:p>
        </w:tc>
        <w:tc>
          <w:tcPr>
            <w:tcBorders>
              <w:bottom w:val="single" w:sz="12" w:space="0" w:color="FFFFFF"/>
              <w:top w:val="single" w:sz="12" w:space="0" w:color="FFFFFF"/>
              <w:left w:val="none" w:sz="0" w:space="0" w:color="000000"/>
              <w:right w:val="single" w:sz="4" w:space="0" w:color="FFFFFF"/>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Confirmed</w:t>
            </w:r>
          </w:p>
        </w:tc>
      </w:tr>
      <w:tr>
        <w:trPr>
          <w:trHeight w:val="542" w:hRule="auto"/>
        </w:trPr>
        body1
        <w:tc>
          <w:tcPr>
            <w:tcBorders>
              <w:bottom w:val="single" w:sz="4" w:space="0" w:color="FFFFFF"/>
              <w:top w:val="single" w:sz="12"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AFP</w:t>
            </w:r>
          </w:p>
        </w:tc>
        <w:tc>
          <w:tcPr>
            <w:tcBorders>
              <w:bottom w:val="single" w:sz="4" w:space="0" w:color="FFFFFF"/>
              <w:top w:val="single" w:sz="12"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4" w:space="0" w:color="FFFFFF"/>
              <w:top w:val="single" w:sz="12"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4" w:space="0" w:color="FFFFFF"/>
              <w:top w:val="single" w:sz="12"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4" w:space="0" w:color="FFFFFF"/>
              <w:top w:val="single" w:sz="12"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318</w:t>
            </w:r>
          </w:p>
        </w:tc>
        <w:tc>
          <w:tcPr>
            <w:tcBorders>
              <w:bottom w:val="single" w:sz="4" w:space="0" w:color="FFFFFF"/>
              <w:top w:val="single" w:sz="12"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259</w:t>
            </w:r>
          </w:p>
        </w:tc>
        <w:tc>
          <w:tcPr>
            <w:tcBorders>
              <w:bottom w:val="single" w:sz="4" w:space="0" w:color="FFFFFF"/>
              <w:top w:val="single" w:sz="12"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42" w:hRule="auto"/>
        </w:trPr>
        body2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Anthrax</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283</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66" w:hRule="auto"/>
        </w:trPr>
        body3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Cholera</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16,684</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4,410</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2,034</w:t>
            </w:r>
          </w:p>
        </w:tc>
      </w:tr>
      <w:tr>
        <w:trPr>
          <w:trHeight w:val="577" w:hRule="auto"/>
        </w:trPr>
        body4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Non-bloody Diarrhoea</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35,175</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2,435</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2,171</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813,029</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46,953</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50,502</w:t>
            </w:r>
          </w:p>
        </w:tc>
      </w:tr>
      <w:tr>
        <w:trPr>
          <w:trHeight w:val="566" w:hRule="auto"/>
        </w:trPr>
        body5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Malaria</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144,640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138,717</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40,329</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8,011,914</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7,570,205</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3,693,242</w:t>
            </w:r>
          </w:p>
        </w:tc>
      </w:tr>
      <w:tr>
        <w:trPr>
          <w:trHeight w:val="566" w:hRule="auto"/>
        </w:trPr>
        body6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Measles</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4,360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1,343</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655</w:t>
            </w:r>
          </w:p>
        </w:tc>
      </w:tr>
      <w:tr>
        <w:trPr>
          <w:trHeight w:val="577" w:hRule="auto"/>
        </w:trPr>
        body7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Monkeypox</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7" w:hRule="auto"/>
        </w:trPr>
        body8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Plague</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7" w:hRule="auto"/>
        </w:trPr>
        body9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Typhoid Fever</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822</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499</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w:t>
            </w:r>
          </w:p>
        </w:tc>
      </w:tr>
    </w:tbl>
    <w:bookmarkEnd w:id="21"/>
    <w:bookmarkStart w:id="26" w:name="summary-of-vpd-surveillance-indicators"/>
    <w:p>
      <w:pPr>
        <w:pStyle w:val="Heading2"/>
      </w:pPr>
      <w:r>
        <w:t xml:space="preserve">Summary of VPD Surveillance Indicators</w:t>
      </w:r>
    </w:p>
    <w:bookmarkStart w:id="25" w:name="Xf28dffefc4a7f679dc9e3df554a9512ea8ff25d"/>
    <w:p>
      <w:pPr>
        <w:pStyle w:val="Heading3"/>
      </w:pPr>
      <w:r>
        <w:t xml:space="preserve">Measles Laboratory Test Results by Region</w:t>
      </w:r>
    </w:p>
    <w:tbl>
      <w:tblPr>
        <w:tblStyle w:val="Table"/>
        <w:tblW w:type="pct" w:w="5000"/>
        <w:tblLayout w:type="fixed"/>
        <w:tblLook w:firstRow="0" w:lastRow="0" w:firstColumn="0" w:lastColumn="0" w:noHBand="0" w:noVBand="0" w:val="0000"/>
      </w:tblPr>
      <w:tblGrid>
        <w:gridCol w:w="3960"/>
        <w:gridCol w:w="3960"/>
      </w:tblGrid>
      <w:tr>
        <w:tc>
          <w:tcPr/>
          <w:p>
            <w:pPr>
              <w:numPr>
                <w:ilvl w:val="0"/>
                <w:numId w:val="1003"/>
              </w:numPr>
              <w:jc w:val="left"/>
            </w:pPr>
            <w:r>
              <w:t xml:space="preserve">The country has recorded a total of 4360 suspected measles cases in 2024.</w:t>
            </w:r>
          </w:p>
          <w:p>
            <w:pPr>
              <w:numPr>
                <w:ilvl w:val="0"/>
                <w:numId w:val="1003"/>
              </w:numPr>
              <w:jc w:val="left"/>
            </w:pPr>
            <w:r>
              <w:t xml:space="preserve">From the 553 measles specimens that have been tested, 192 have been confirmed positive (PR 34.7 %).</w:t>
            </w:r>
          </w:p>
        </w:tc>
        <w:tc>
          <w:tcPr/>
          <w:p>
            <w:pPr>
              <w:jc w:val="left"/>
            </w:pPr>
            <w:r>
              <w:drawing>
                <wp:inline>
                  <wp:extent cx="3566160" cy="2674620"/>
                  <wp:effectExtent b="0" l="0" r="0" t="0"/>
                  <wp:docPr descr="" title="" id="23" name="Picture"/>
                  <a:graphic>
                    <a:graphicData uri="http://schemas.openxmlformats.org/drawingml/2006/picture">
                      <pic:pic>
                        <pic:nvPicPr>
                          <pic:cNvPr descr="outputs/figures/measles_plot.png" id="24" name="Picture"/>
                          <pic:cNvPicPr>
                            <a:picLocks noChangeArrowheads="1" noChangeAspect="1"/>
                          </pic:cNvPicPr>
                        </pic:nvPicPr>
                        <pic:blipFill>
                          <a:blip r:embed="rId22"/>
                          <a:stretch>
                            <a:fillRect/>
                          </a:stretch>
                        </pic:blipFill>
                        <pic:spPr bwMode="auto">
                          <a:xfrm>
                            <a:off x="0" y="0"/>
                            <a:ext cx="3566160" cy="2674620"/>
                          </a:xfrm>
                          <a:prstGeom prst="rect">
                            <a:avLst/>
                          </a:prstGeom>
                          <a:noFill/>
                          <a:ln w="9525">
                            <a:noFill/>
                            <a:headEnd/>
                            <a:tailEnd/>
                          </a:ln>
                        </pic:spPr>
                      </pic:pic>
                    </a:graphicData>
                  </a:graphic>
                </wp:inline>
              </w:drawing>
            </w:r>
          </w:p>
        </w:tc>
      </w:tr>
    </w:tbl>
    <w:bookmarkEnd w:id="25"/>
    <w:bookmarkEnd w:id="26"/>
    <w:bookmarkStart w:id="35" w:name="maternal-deaths"/>
    <w:p>
      <w:pPr>
        <w:pStyle w:val="Heading2"/>
      </w:pPr>
      <w:r>
        <w:rPr>
          <w:b/>
          <w:bCs/>
        </w:rPr>
        <w:t xml:space="preserve">Maternal Deaths</w:t>
      </w:r>
    </w:p>
    <w:tbl>
      <w:tblPr>
        <w:tblStyle w:val="Table"/>
        <w:tblW w:type="pct" w:w="5000"/>
        <w:tblLayout w:type="fixed"/>
        <w:tblLook w:firstRow="0" w:lastRow="0" w:firstColumn="0" w:lastColumn="0" w:noHBand="0" w:noVBand="0" w:val="0000"/>
      </w:tblPr>
      <w:tblGrid>
        <w:gridCol w:w="3960"/>
        <w:gridCol w:w="3960"/>
      </w:tblGrid>
      <w:tr>
        <w:tc>
          <w:tcPr/>
          <w:p>
            <w:pPr>
              <w:pStyle w:val="Heading3"/>
              <w:jc w:val="left"/>
            </w:pPr>
            <w:bookmarkStart w:id="27" w:name="causes-of-maternal-death-week-34-n15"/>
            <w:r>
              <w:t xml:space="preserve">Causes of maternal death (Week 34, n=15)</w:t>
            </w:r>
            <w:bookmarkEnd w:id="27"/>
          </w:p>
          <w:p>
            <w:pPr>
              <w:jc w:val="left"/>
            </w:pPr>
            <w:r>
              <w:drawing>
                <wp:inline>
                  <wp:extent cx="2674620" cy="1783080"/>
                  <wp:effectExtent b="0" l="0" r="0" t="0"/>
                  <wp:docPr descr="" title="" id="29" name="Picture"/>
                  <a:graphic>
                    <a:graphicData uri="http://schemas.openxmlformats.org/drawingml/2006/picture">
                      <pic:pic>
                        <pic:nvPicPr>
                          <pic:cNvPr descr="outputs/figures/maternal_causes_plot.png" id="30" name="Picture"/>
                          <pic:cNvPicPr>
                            <a:picLocks noChangeArrowheads="1" noChangeAspect="1"/>
                          </pic:cNvPicPr>
                        </pic:nvPicPr>
                        <pic:blipFill>
                          <a:blip r:embed="rId28"/>
                          <a:stretch>
                            <a:fillRect/>
                          </a:stretch>
                        </pic:blipFill>
                        <pic:spPr bwMode="auto">
                          <a:xfrm>
                            <a:off x="0" y="0"/>
                            <a:ext cx="2674620" cy="1783080"/>
                          </a:xfrm>
                          <a:prstGeom prst="rect">
                            <a:avLst/>
                          </a:prstGeom>
                          <a:noFill/>
                          <a:ln w="9525">
                            <a:noFill/>
                            <a:headEnd/>
                            <a:tailEnd/>
                          </a:ln>
                        </pic:spPr>
                      </pic:pic>
                    </a:graphicData>
                  </a:graphic>
                </wp:inline>
              </w:drawing>
            </w:r>
          </w:p>
        </w:tc>
        <w:tc>
          <w:tcPr/>
          <w:p>
            <w:pPr>
              <w:pStyle w:val="Heading3"/>
              <w:jc w:val="left"/>
            </w:pPr>
            <w:bookmarkStart w:id="31" w:name="Xadbc900fdfb37c2e60c09c054d03d780526e429"/>
            <w:r>
              <w:t xml:space="preserve">Cumulative distribution of maternal deaths (2024) by region</w:t>
            </w:r>
            <w:bookmarkEnd w:id="31"/>
          </w:p>
          <w:p>
            <w:pPr>
              <w:jc w:val="left"/>
            </w:pPr>
            <w:r>
              <w:drawing>
                <wp:inline>
                  <wp:extent cx="3566160" cy="2674620"/>
                  <wp:effectExtent b="0" l="0" r="0" t="0"/>
                  <wp:docPr descr="" title="" id="33" name="Picture"/>
                  <a:graphic>
                    <a:graphicData uri="http://schemas.openxmlformats.org/drawingml/2006/picture">
                      <pic:pic>
                        <pic:nvPicPr>
                          <pic:cNvPr descr="outputs/figures/maternal_map_plot.png" id="34" name="Picture"/>
                          <pic:cNvPicPr>
                            <a:picLocks noChangeArrowheads="1" noChangeAspect="1"/>
                          </pic:cNvPicPr>
                        </pic:nvPicPr>
                        <pic:blipFill>
                          <a:blip r:embed="rId32"/>
                          <a:stretch>
                            <a:fillRect/>
                          </a:stretch>
                        </pic:blipFill>
                        <pic:spPr bwMode="auto">
                          <a:xfrm>
                            <a:off x="0" y="0"/>
                            <a:ext cx="3566160" cy="2674620"/>
                          </a:xfrm>
                          <a:prstGeom prst="rect">
                            <a:avLst/>
                          </a:prstGeom>
                          <a:noFill/>
                          <a:ln w="9525">
                            <a:noFill/>
                            <a:headEnd/>
                            <a:tailEnd/>
                          </a:ln>
                        </pic:spPr>
                      </pic:pic>
                    </a:graphicData>
                  </a:graphic>
                </wp:inline>
              </w:drawing>
            </w:r>
          </w:p>
        </w:tc>
      </w:tr>
    </w:tbl>
    <w:p>
      <w:pPr>
        <w:numPr>
          <w:ilvl w:val="0"/>
          <w:numId w:val="1004"/>
        </w:numPr>
      </w:pPr>
      <w:r>
        <w:t xml:space="preserve">The bar chart on the left summarizes the causes of deaths of 15 maternal deaths recorded in week 34</w:t>
      </w:r>
    </w:p>
    <w:p>
      <w:pPr>
        <w:numPr>
          <w:ilvl w:val="0"/>
          <w:numId w:val="1004"/>
        </w:numPr>
      </w:pPr>
      <w:r>
        <w:t xml:space="preserve">Hypertensive disorder, Non-obstetric complications, and Obstetric haemorrhage continue to be the leading causes of maternal deaths this year.</w:t>
      </w:r>
    </w:p>
    <w:p>
      <w:pPr>
        <w:numPr>
          <w:ilvl w:val="0"/>
          <w:numId w:val="1004"/>
        </w:numPr>
      </w:pPr>
      <w:r>
        <w:t xml:space="preserve">Cumulatively, in 2024,</w:t>
      </w:r>
      <w:r>
        <w:t xml:space="preserve"> </w:t>
      </w:r>
      <w:r>
        <w:rPr>
          <w:b/>
          <w:bCs/>
        </w:rPr>
        <w:t xml:space="preserve">395</w:t>
      </w:r>
      <w:r>
        <w:t xml:space="preserve"> </w:t>
      </w:r>
      <w:r>
        <w:t xml:space="preserve">maternal deaths have been recorded across the country, as depicted on the map.</w:t>
      </w:r>
    </w:p>
    <w:p>
      <w:pPr>
        <w:numPr>
          <w:ilvl w:val="0"/>
          <w:numId w:val="1004"/>
        </w:numPr>
      </w:pPr>
      <w:r>
        <w:t xml:space="preserve">Regions with darker shades (Sidama, Amhara, and Tigray) indicate those with a higher number of reported maternal deaths.</w:t>
      </w:r>
    </w:p>
    <w:bookmarkEnd w:id="35"/>
    <w:bookmarkEnd w:id="36"/>
    <w:sectPr w:rsidR="00401ACA" w:rsidRPr="004A64CF">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61"/>
    <w:rsid w:val="00014F61"/>
    <w:rsid w:val="00067037"/>
    <w:rsid w:val="000A1742"/>
    <w:rsid w:val="000B0AC5"/>
    <w:rsid w:val="002827AE"/>
    <w:rsid w:val="003004B6"/>
    <w:rsid w:val="00320A38"/>
    <w:rsid w:val="003350AC"/>
    <w:rsid w:val="00391D2D"/>
    <w:rsid w:val="00401ACA"/>
    <w:rsid w:val="004A64CF"/>
    <w:rsid w:val="00501BC0"/>
    <w:rsid w:val="00562650"/>
    <w:rsid w:val="00592317"/>
    <w:rsid w:val="005A76BC"/>
    <w:rsid w:val="005C66A5"/>
    <w:rsid w:val="005D76A5"/>
    <w:rsid w:val="00772C40"/>
    <w:rsid w:val="007B6A9F"/>
    <w:rsid w:val="008617AD"/>
    <w:rsid w:val="00897053"/>
    <w:rsid w:val="0098489F"/>
    <w:rsid w:val="00A661B4"/>
    <w:rsid w:val="00B023DB"/>
    <w:rsid w:val="00BB212E"/>
    <w:rsid w:val="00C109A0"/>
    <w:rsid w:val="00C5656C"/>
    <w:rsid w:val="00CB17EE"/>
    <w:rsid w:val="00CD41E8"/>
    <w:rsid w:val="00D306B5"/>
    <w:rsid w:val="00D81BFF"/>
    <w:rsid w:val="00DD317F"/>
    <w:rsid w:val="00DF1A71"/>
    <w:rsid w:val="00E364DD"/>
    <w:rsid w:val="00EF69A1"/>
    <w:rsid w:val="00F709DD"/>
    <w:rsid w:val="00FE3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lang w:bidi="ar-SA" w:eastAsia="en-US" w:val="en-US"/>
      </w:rPr>
    </w:rPrDefault>
    <w:pPrDefault>
      <w:pPr>
        <w:spacing w:after="200" w:before="24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Heading 1"/>
    <w:qFormat/>
    <w:rsid w:val="00FE33E9"/>
    <w:pPr>
      <w:jc w:val="both"/>
    </w:pPr>
    <w:rPr>
      <w:sz w:val="28"/>
    </w:rPr>
  </w:style>
  <w:style w:styleId="Heading1" w:type="paragraph">
    <w:name w:val="heading 1"/>
    <w:basedOn w:val="Normal"/>
    <w:next w:val="Normal"/>
    <w:link w:val="Heading1Char"/>
    <w:autoRedefine/>
    <w:uiPriority w:val="9"/>
    <w:qFormat/>
    <w:rsid w:val="000B0AC5"/>
    <w:pPr>
      <w:shd w:color="auto" w:fill="0070C0" w:val="clear"/>
      <w:spacing w:after="120" w:before="120"/>
      <w:jc w:val="center"/>
      <w:outlineLvl w:val="0"/>
    </w:pPr>
    <w:rPr>
      <w:b/>
      <w:color w:themeColor="background1" w:val="FFFFFF"/>
      <w:spacing w:val="15"/>
      <w:szCs w:val="22"/>
    </w:rPr>
  </w:style>
  <w:style w:styleId="Heading2" w:type="paragraph">
    <w:name w:val="heading 2"/>
    <w:basedOn w:val="Normal"/>
    <w:next w:val="Normal"/>
    <w:link w:val="Heading2Char"/>
    <w:autoRedefine/>
    <w:uiPriority w:val="9"/>
    <w:unhideWhenUsed/>
    <w:qFormat/>
    <w:rsid w:val="00FE33E9"/>
    <w:pPr>
      <w:framePr w:hAnchor="text" w:vAnchor="text" w:vSpace="284" w:w="9759" w:wrap="notBeside" w:y="1"/>
      <w:shd w:color="auto" w:fill="66CCFF" w:val="clear"/>
      <w:spacing w:after="120" w:before="120"/>
      <w:mirrorIndents/>
      <w:jc w:val="center"/>
      <w:outlineLvl w:val="1"/>
    </w:pPr>
    <w:rPr>
      <w:b/>
      <w:spacing w:val="15"/>
      <w:sz w:val="24"/>
      <w:lang w:val="en-DE"/>
    </w:rPr>
  </w:style>
  <w:style w:styleId="Heading3" w:type="paragraph">
    <w:name w:val="heading 3"/>
    <w:basedOn w:val="Normal"/>
    <w:next w:val="Normal"/>
    <w:link w:val="Heading3Char"/>
    <w:uiPriority w:val="9"/>
    <w:unhideWhenUsed/>
    <w:qFormat/>
    <w:rsid w:val="00FE33E9"/>
    <w:pPr>
      <w:shd w:color="auto" w:fill="0070C0" w:val="clear"/>
      <w:spacing w:after="120" w:before="120"/>
      <w:jc w:val="center"/>
      <w:outlineLvl w:val="2"/>
    </w:pPr>
    <w:rPr>
      <w:b/>
      <w:color w:themeColor="background1" w:val="FFFFFF"/>
      <w:spacing w:val="15"/>
      <w:sz w:val="20"/>
    </w:rPr>
  </w:style>
  <w:style w:styleId="Heading4" w:type="paragraph">
    <w:name w:val="heading 4"/>
    <w:basedOn w:val="Normal"/>
    <w:next w:val="Normal"/>
    <w:link w:val="Heading4Char"/>
    <w:uiPriority w:val="9"/>
    <w:semiHidden/>
    <w:unhideWhenUsed/>
    <w:qFormat/>
    <w:rsid w:val="00014F61"/>
    <w:pPr>
      <w:pBdr>
        <w:top w:color="156082" w:space="2" w:sz="6" w:themeColor="accent1" w:val="dotted"/>
      </w:pBdr>
      <w:spacing w:after="0" w:before="200"/>
      <w:outlineLvl w:val="3"/>
    </w:pPr>
    <w:rPr>
      <w:caps/>
      <w:color w:themeColor="accent1" w:themeShade="BF" w:val="0F4761"/>
      <w:spacing w:val="10"/>
    </w:rPr>
  </w:style>
  <w:style w:styleId="Heading5" w:type="paragraph">
    <w:name w:val="heading 5"/>
    <w:basedOn w:val="Normal"/>
    <w:next w:val="Normal"/>
    <w:link w:val="Heading5Char"/>
    <w:uiPriority w:val="9"/>
    <w:semiHidden/>
    <w:unhideWhenUsed/>
    <w:qFormat/>
    <w:rsid w:val="00014F61"/>
    <w:pPr>
      <w:pBdr>
        <w:bottom w:color="156082" w:space="1" w:sz="6" w:themeColor="accent1" w:val="single"/>
      </w:pBdr>
      <w:spacing w:after="0" w:before="200"/>
      <w:outlineLvl w:val="4"/>
    </w:pPr>
    <w:rPr>
      <w:caps/>
      <w:color w:themeColor="accent1" w:themeShade="BF" w:val="0F4761"/>
      <w:spacing w:val="10"/>
    </w:rPr>
  </w:style>
  <w:style w:styleId="Heading6" w:type="paragraph">
    <w:name w:val="heading 6"/>
    <w:basedOn w:val="Normal"/>
    <w:next w:val="Normal"/>
    <w:link w:val="Heading6Char"/>
    <w:uiPriority w:val="9"/>
    <w:semiHidden/>
    <w:unhideWhenUsed/>
    <w:qFormat/>
    <w:rsid w:val="00014F61"/>
    <w:pPr>
      <w:pBdr>
        <w:bottom w:color="156082" w:space="1" w:sz="6" w:themeColor="accent1" w:val="dotted"/>
      </w:pBdr>
      <w:spacing w:after="0" w:before="200"/>
      <w:outlineLvl w:val="5"/>
    </w:pPr>
    <w:rPr>
      <w:caps/>
      <w:color w:themeColor="accent1" w:themeShade="BF" w:val="0F4761"/>
      <w:spacing w:val="10"/>
    </w:rPr>
  </w:style>
  <w:style w:styleId="Heading7" w:type="paragraph">
    <w:name w:val="heading 7"/>
    <w:basedOn w:val="Normal"/>
    <w:next w:val="Normal"/>
    <w:link w:val="Heading7Char"/>
    <w:uiPriority w:val="9"/>
    <w:semiHidden/>
    <w:unhideWhenUsed/>
    <w:qFormat/>
    <w:rsid w:val="00014F61"/>
    <w:pPr>
      <w:spacing w:after="0" w:before="200"/>
      <w:outlineLvl w:val="6"/>
    </w:pPr>
    <w:rPr>
      <w:caps/>
      <w:color w:themeColor="accent1" w:themeShade="BF" w:val="0F4761"/>
      <w:spacing w:val="10"/>
    </w:rPr>
  </w:style>
  <w:style w:styleId="Heading8" w:type="paragraph">
    <w:name w:val="heading 8"/>
    <w:basedOn w:val="Normal"/>
    <w:next w:val="Normal"/>
    <w:link w:val="Heading8Char"/>
    <w:uiPriority w:val="9"/>
    <w:semiHidden/>
    <w:unhideWhenUsed/>
    <w:qFormat/>
    <w:rsid w:val="00014F61"/>
    <w:pPr>
      <w:spacing w:after="0" w:before="200"/>
      <w:outlineLvl w:val="7"/>
    </w:pPr>
    <w:rPr>
      <w:caps/>
      <w:spacing w:val="10"/>
      <w:sz w:val="18"/>
      <w:szCs w:val="18"/>
    </w:rPr>
  </w:style>
  <w:style w:styleId="Heading9" w:type="paragraph">
    <w:name w:val="heading 9"/>
    <w:basedOn w:val="Normal"/>
    <w:next w:val="Normal"/>
    <w:link w:val="Heading9Char"/>
    <w:uiPriority w:val="9"/>
    <w:semiHidden/>
    <w:unhideWhenUsed/>
    <w:qFormat/>
    <w:rsid w:val="00014F61"/>
    <w:pPr>
      <w:spacing w:after="0" w:before="200"/>
      <w:outlineLvl w:val="8"/>
    </w:pPr>
    <w:rPr>
      <w:i/>
      <w:iCs/>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0B0AC5"/>
    <w:rPr>
      <w:b/>
      <w:color w:themeColor="background1" w:val="FFFFFF"/>
      <w:spacing w:val="15"/>
      <w:sz w:val="28"/>
      <w:szCs w:val="22"/>
      <w:shd w:color="auto" w:fill="0070C0" w:val="clear"/>
    </w:rPr>
  </w:style>
  <w:style w:customStyle="1" w:styleId="Heading2Char" w:type="character">
    <w:name w:val="Heading 2 Char"/>
    <w:basedOn w:val="DefaultParagraphFont"/>
    <w:link w:val="Heading2"/>
    <w:uiPriority w:val="9"/>
    <w:rsid w:val="00FE33E9"/>
    <w:rPr>
      <w:b/>
      <w:spacing w:val="15"/>
      <w:sz w:val="24"/>
      <w:shd w:color="auto" w:fill="66CCFF" w:val="clear"/>
      <w:lang w:val="en-DE"/>
    </w:rPr>
  </w:style>
  <w:style w:customStyle="1" w:styleId="Heading3Char" w:type="character">
    <w:name w:val="Heading 3 Char"/>
    <w:basedOn w:val="DefaultParagraphFont"/>
    <w:link w:val="Heading3"/>
    <w:uiPriority w:val="9"/>
    <w:rsid w:val="00FE33E9"/>
    <w:rPr>
      <w:b/>
      <w:color w:themeColor="background1" w:val="FFFFFF"/>
      <w:spacing w:val="15"/>
      <w:shd w:color="auto" w:fill="0070C0" w:val="clear"/>
    </w:rPr>
  </w:style>
  <w:style w:customStyle="1" w:styleId="Heading4Char" w:type="character">
    <w:name w:val="Heading 4 Char"/>
    <w:basedOn w:val="DefaultParagraphFont"/>
    <w:link w:val="Heading4"/>
    <w:uiPriority w:val="9"/>
    <w:semiHidden/>
    <w:rsid w:val="00014F61"/>
    <w:rPr>
      <w:caps/>
      <w:color w:themeColor="accent1" w:themeShade="BF" w:val="0F4761"/>
      <w:spacing w:val="10"/>
    </w:rPr>
  </w:style>
  <w:style w:customStyle="1" w:styleId="Heading5Char" w:type="character">
    <w:name w:val="Heading 5 Char"/>
    <w:basedOn w:val="DefaultParagraphFont"/>
    <w:link w:val="Heading5"/>
    <w:uiPriority w:val="9"/>
    <w:semiHidden/>
    <w:rsid w:val="00014F61"/>
    <w:rPr>
      <w:caps/>
      <w:color w:themeColor="accent1" w:themeShade="BF" w:val="0F4761"/>
      <w:spacing w:val="10"/>
    </w:rPr>
  </w:style>
  <w:style w:customStyle="1" w:styleId="Heading6Char" w:type="character">
    <w:name w:val="Heading 6 Char"/>
    <w:basedOn w:val="DefaultParagraphFont"/>
    <w:link w:val="Heading6"/>
    <w:uiPriority w:val="9"/>
    <w:semiHidden/>
    <w:rsid w:val="00014F61"/>
    <w:rPr>
      <w:caps/>
      <w:color w:themeColor="accent1" w:themeShade="BF" w:val="0F4761"/>
      <w:spacing w:val="10"/>
    </w:rPr>
  </w:style>
  <w:style w:customStyle="1" w:styleId="Heading7Char" w:type="character">
    <w:name w:val="Heading 7 Char"/>
    <w:basedOn w:val="DefaultParagraphFont"/>
    <w:link w:val="Heading7"/>
    <w:uiPriority w:val="9"/>
    <w:semiHidden/>
    <w:rsid w:val="00014F61"/>
    <w:rPr>
      <w:caps/>
      <w:color w:themeColor="accent1" w:themeShade="BF" w:val="0F4761"/>
      <w:spacing w:val="10"/>
    </w:rPr>
  </w:style>
  <w:style w:customStyle="1" w:styleId="Heading8Char" w:type="character">
    <w:name w:val="Heading 8 Char"/>
    <w:basedOn w:val="DefaultParagraphFont"/>
    <w:link w:val="Heading8"/>
    <w:uiPriority w:val="9"/>
    <w:semiHidden/>
    <w:rsid w:val="00014F61"/>
    <w:rPr>
      <w:caps/>
      <w:spacing w:val="10"/>
      <w:sz w:val="18"/>
      <w:szCs w:val="18"/>
    </w:rPr>
  </w:style>
  <w:style w:customStyle="1" w:styleId="Heading9Char" w:type="character">
    <w:name w:val="Heading 9 Char"/>
    <w:basedOn w:val="DefaultParagraphFont"/>
    <w:link w:val="Heading9"/>
    <w:uiPriority w:val="9"/>
    <w:semiHidden/>
    <w:rsid w:val="00014F61"/>
    <w:rPr>
      <w:i/>
      <w:iCs/>
      <w:caps/>
      <w:spacing w:val="10"/>
      <w:sz w:val="18"/>
      <w:szCs w:val="18"/>
    </w:rPr>
  </w:style>
  <w:style w:styleId="Title" w:type="paragraph">
    <w:name w:val="Title"/>
    <w:basedOn w:val="Normal"/>
    <w:next w:val="Normal"/>
    <w:link w:val="TitleChar"/>
    <w:uiPriority w:val="10"/>
    <w:qFormat/>
    <w:rsid w:val="00014F61"/>
    <w:pPr>
      <w:spacing w:after="0" w:before="0"/>
    </w:pPr>
    <w:rPr>
      <w:rFonts w:asciiTheme="majorHAnsi" w:cstheme="majorBidi" w:eastAsiaTheme="majorEastAsia" w:hAnsiTheme="majorHAnsi"/>
      <w:caps/>
      <w:color w:themeColor="accent1" w:val="156082"/>
      <w:spacing w:val="10"/>
      <w:sz w:val="52"/>
      <w:szCs w:val="52"/>
    </w:rPr>
  </w:style>
  <w:style w:customStyle="1" w:styleId="TitleChar" w:type="character">
    <w:name w:val="Title Char"/>
    <w:basedOn w:val="DefaultParagraphFont"/>
    <w:link w:val="Title"/>
    <w:uiPriority w:val="10"/>
    <w:rsid w:val="00014F61"/>
    <w:rPr>
      <w:rFonts w:asciiTheme="majorHAnsi" w:cstheme="majorBidi" w:eastAsiaTheme="majorEastAsia" w:hAnsiTheme="majorHAnsi"/>
      <w:caps/>
      <w:color w:themeColor="accent1" w:val="156082"/>
      <w:spacing w:val="10"/>
      <w:sz w:val="52"/>
      <w:szCs w:val="52"/>
    </w:rPr>
  </w:style>
  <w:style w:styleId="Subtitle" w:type="paragraph">
    <w:name w:val="Subtitle"/>
    <w:basedOn w:val="Normal"/>
    <w:next w:val="Normal"/>
    <w:link w:val="SubtitleChar"/>
    <w:uiPriority w:val="11"/>
    <w:qFormat/>
    <w:rsid w:val="00014F61"/>
    <w:pPr>
      <w:spacing w:after="500" w:before="0"/>
    </w:pPr>
    <w:rPr>
      <w:caps/>
      <w:color w:themeColor="text1" w:themeTint="A6" w:val="595959"/>
      <w:spacing w:val="10"/>
      <w:sz w:val="21"/>
      <w:szCs w:val="21"/>
    </w:rPr>
  </w:style>
  <w:style w:customStyle="1" w:styleId="SubtitleChar" w:type="character">
    <w:name w:val="Subtitle Char"/>
    <w:basedOn w:val="DefaultParagraphFont"/>
    <w:link w:val="Subtitle"/>
    <w:uiPriority w:val="11"/>
    <w:rsid w:val="00014F61"/>
    <w:rPr>
      <w:caps/>
      <w:color w:themeColor="text1" w:themeTint="A6" w:val="595959"/>
      <w:spacing w:val="10"/>
      <w:sz w:val="21"/>
      <w:szCs w:val="21"/>
    </w:rPr>
  </w:style>
  <w:style w:styleId="Quote" w:type="paragraph">
    <w:name w:val="Quote"/>
    <w:basedOn w:val="Normal"/>
    <w:next w:val="Normal"/>
    <w:link w:val="QuoteChar"/>
    <w:uiPriority w:val="29"/>
    <w:qFormat/>
    <w:rsid w:val="00014F61"/>
    <w:rPr>
      <w:i/>
      <w:iCs/>
      <w:sz w:val="24"/>
      <w:szCs w:val="24"/>
    </w:rPr>
  </w:style>
  <w:style w:customStyle="1" w:styleId="QuoteChar" w:type="character">
    <w:name w:val="Quote Char"/>
    <w:basedOn w:val="DefaultParagraphFont"/>
    <w:link w:val="Quote"/>
    <w:uiPriority w:val="29"/>
    <w:rsid w:val="00014F61"/>
    <w:rPr>
      <w:i/>
      <w:iCs/>
      <w:sz w:val="24"/>
      <w:szCs w:val="24"/>
    </w:rPr>
  </w:style>
  <w:style w:styleId="ListParagraph" w:type="paragraph">
    <w:name w:val="List Paragraph"/>
    <w:basedOn w:val="Normal"/>
    <w:uiPriority w:val="34"/>
    <w:qFormat/>
    <w:rsid w:val="00014F61"/>
    <w:pPr>
      <w:ind w:left="720"/>
      <w:contextualSpacing/>
    </w:pPr>
  </w:style>
  <w:style w:styleId="IntenseEmphasis" w:type="character">
    <w:name w:val="Intense Emphasis"/>
    <w:uiPriority w:val="21"/>
    <w:qFormat/>
    <w:rsid w:val="00014F61"/>
    <w:rPr>
      <w:b/>
      <w:bCs/>
      <w:caps/>
      <w:color w:themeColor="accent1" w:themeShade="7F" w:val="0A2F40"/>
      <w:spacing w:val="10"/>
    </w:rPr>
  </w:style>
  <w:style w:styleId="IntenseQuote" w:type="paragraph">
    <w:name w:val="Intense Quote"/>
    <w:basedOn w:val="Normal"/>
    <w:next w:val="Normal"/>
    <w:link w:val="IntenseQuoteChar"/>
    <w:uiPriority w:val="30"/>
    <w:qFormat/>
    <w:rsid w:val="00014F61"/>
    <w:pPr>
      <w:spacing w:after="240"/>
      <w:ind w:left="1080" w:right="1080"/>
      <w:jc w:val="center"/>
    </w:pPr>
    <w:rPr>
      <w:color w:themeColor="accent1" w:val="156082"/>
      <w:sz w:val="24"/>
      <w:szCs w:val="24"/>
    </w:rPr>
  </w:style>
  <w:style w:customStyle="1" w:styleId="IntenseQuoteChar" w:type="character">
    <w:name w:val="Intense Quote Char"/>
    <w:basedOn w:val="DefaultParagraphFont"/>
    <w:link w:val="IntenseQuote"/>
    <w:uiPriority w:val="30"/>
    <w:rsid w:val="00014F61"/>
    <w:rPr>
      <w:color w:themeColor="accent1" w:val="156082"/>
      <w:sz w:val="24"/>
      <w:szCs w:val="24"/>
    </w:rPr>
  </w:style>
  <w:style w:styleId="IntenseReference" w:type="character">
    <w:name w:val="Intense Reference"/>
    <w:uiPriority w:val="32"/>
    <w:qFormat/>
    <w:rsid w:val="00014F61"/>
    <w:rPr>
      <w:b/>
      <w:bCs/>
      <w:i/>
      <w:iCs/>
      <w:caps/>
      <w:color w:themeColor="accent1" w:val="156082"/>
    </w:rPr>
  </w:style>
  <w:style w:styleId="Caption" w:type="paragraph">
    <w:name w:val="caption"/>
    <w:basedOn w:val="Normal"/>
    <w:next w:val="Normal"/>
    <w:uiPriority w:val="35"/>
    <w:semiHidden/>
    <w:unhideWhenUsed/>
    <w:qFormat/>
    <w:rsid w:val="00014F61"/>
    <w:rPr>
      <w:b/>
      <w:bCs/>
      <w:color w:themeColor="accent1" w:themeShade="BF" w:val="0F4761"/>
      <w:sz w:val="16"/>
      <w:szCs w:val="16"/>
    </w:rPr>
  </w:style>
  <w:style w:styleId="Strong" w:type="character">
    <w:name w:val="Strong"/>
    <w:uiPriority w:val="22"/>
    <w:qFormat/>
    <w:rsid w:val="00014F61"/>
    <w:rPr>
      <w:b/>
      <w:bCs/>
    </w:rPr>
  </w:style>
  <w:style w:styleId="Emphasis" w:type="character">
    <w:name w:val="Emphasis"/>
    <w:uiPriority w:val="20"/>
    <w:qFormat/>
    <w:rsid w:val="00014F61"/>
    <w:rPr>
      <w:caps/>
      <w:color w:themeColor="accent1" w:themeShade="7F" w:val="0A2F40"/>
      <w:spacing w:val="5"/>
    </w:rPr>
  </w:style>
  <w:style w:styleId="NoSpacing" w:type="paragraph">
    <w:name w:val="No Spacing"/>
    <w:uiPriority w:val="1"/>
    <w:qFormat/>
    <w:rsid w:val="00014F61"/>
    <w:pPr>
      <w:spacing w:after="0"/>
    </w:pPr>
  </w:style>
  <w:style w:styleId="SubtleEmphasis" w:type="character">
    <w:name w:val="Subtle Emphasis"/>
    <w:uiPriority w:val="19"/>
    <w:qFormat/>
    <w:rsid w:val="00014F61"/>
    <w:rPr>
      <w:i/>
      <w:iCs/>
      <w:color w:themeColor="accent1" w:themeShade="7F" w:val="0A2F40"/>
    </w:rPr>
  </w:style>
  <w:style w:styleId="SubtleReference" w:type="character">
    <w:name w:val="Subtle Reference"/>
    <w:uiPriority w:val="31"/>
    <w:qFormat/>
    <w:rsid w:val="00014F61"/>
    <w:rPr>
      <w:b/>
      <w:bCs/>
      <w:color w:themeColor="accent1" w:val="156082"/>
    </w:rPr>
  </w:style>
  <w:style w:styleId="BookTitle" w:type="character">
    <w:name w:val="Book Title"/>
    <w:uiPriority w:val="33"/>
    <w:qFormat/>
    <w:rsid w:val="00014F61"/>
    <w:rPr>
      <w:b/>
      <w:bCs/>
      <w:i/>
      <w:iCs/>
      <w:spacing w:val="0"/>
    </w:rPr>
  </w:style>
  <w:style w:styleId="TOCHeading" w:type="paragraph">
    <w:name w:val="TOC Heading"/>
    <w:basedOn w:val="Heading1"/>
    <w:next w:val="Normal"/>
    <w:uiPriority w:val="39"/>
    <w:semiHidden/>
    <w:unhideWhenUsed/>
    <w:qFormat/>
    <w:rsid w:val="00014F61"/>
    <w:pPr>
      <w:outlineLvl w:val="9"/>
    </w:pPr>
  </w:style>
  <w:style w:styleId="TableGrid" w:type="table">
    <w:name w:val="Table Grid"/>
    <w:basedOn w:val="TableNormal"/>
    <w:uiPriority w:val="39"/>
    <w:rsid w:val="008617AD"/>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tyle1" w:type="paragraph">
    <w:name w:val="Style1"/>
    <w:basedOn w:val="Heading2"/>
    <w:link w:val="Style1Char"/>
    <w:autoRedefine/>
    <w:rsid w:val="00401ACA"/>
    <w:pPr>
      <w:framePr w:wrap="notBeside"/>
    </w:pPr>
  </w:style>
  <w:style w:customStyle="1" w:styleId="Style1Char" w:type="character">
    <w:name w:val="Style1 Char"/>
    <w:basedOn w:val="Heading2Char"/>
    <w:link w:val="Style1"/>
    <w:rsid w:val="00401ACA"/>
    <w:rPr>
      <w:b/>
      <w:spacing w:val="15"/>
      <w:sz w:val="22"/>
      <w:shd w:color="auto" w:fill="66CCFF" w:val="clear"/>
      <w:lang w:val="en-D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2025-08-30T19:12:12Z</dcterms:created>
  <dcterms:modified xsi:type="dcterms:W3CDTF">2025-08-30T19:12:12Z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toc-title">
    <vt:lpwstr>Table of contents</vt:lpwstr>
  </property>
</Properties>
</file>