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SitePilot AI — Master Blueprint v2.0</w:t>
      </w:r>
    </w:p>
    <w:p>
      <w:r>
        <w:t>30 October 2026 | Claude implementation handoff | Consolidated addendum to v1.0 and UI update v1.1</w:t>
      </w:r>
    </w:p>
    <w:p>
      <w:pPr>
        <w:pStyle w:val="Heading2"/>
      </w:pPr>
      <w:r>
        <w:t>1. Mission and scope</w:t>
      </w:r>
    </w:p>
    <w:p>
      <w:r>
        <w:t>Build a playful, friendly, mobile-first Australia-wide property platform: discover homes and investments, analyse opportunities, visualise changes, manage owned properties, and collaborate with licensed professionals. Preserve the existing MVP investor/conveyancer workflows, permissions and financial engine. Nationwide coverage is the product goal, not a claim of complete data coverage on launch.</w:t>
      </w:r>
    </w:p>
    <w:p>
      <w:pPr>
        <w:pStyle w:val="Heading2"/>
      </w:pPr>
      <w:r>
        <w:t>2. User journeys</w:t>
      </w:r>
    </w:p>
    <w:p>
      <w:r>
        <w:t>Dashboard first. Two primary entry cards: Find My Home and Find My Investment. Secondary actions: Search Any Address, My Property, SitePilot Vision, Analyse, Saved, Alerts and Find a Pro. Bottom navigation: Home / Discover / Analyse / Projects / Profile. Guest demo browsing permitted. Professional users get separate role-specific workspace.</w:t>
      </w:r>
    </w:p>
    <w:p>
      <w:pPr>
        <w:pStyle w:val="Heading2"/>
      </w:pPr>
      <w:r>
        <w:t>3. Discover</w:t>
      </w:r>
    </w:p>
    <w:p>
      <w:r>
        <w:t>Separate homebuyer and investor swipe experiences; both have For Sale and Off-Market Potential tabs. Homebuyer cards prioritise images, lifestyle and Couples Mode mutual matches. Investor cards prioritise price, indicative yield, cash-flow assumptions, development possibilities and risk indicators. Swipe left/pass or right/save, with accessible buttons. Off-market properties must be labelled NOT FOR SALE, never misrepresented as available.</w:t>
      </w:r>
    </w:p>
    <w:p>
      <w:pPr>
        <w:pStyle w:val="Heading2"/>
      </w:pPr>
      <w:r>
        <w:t>4. My Property / homeowner claims</w:t>
      </w:r>
    </w:p>
    <w:p>
      <w:r>
        <w:t>Allow users to search any Australian address and create a private property workspace. Verified owners may claim a property using a privacy-preserving verification workflow; claiming is distinct from merely adding an address. Features: estimated value history (where licensed), maintenance and renovation ideas, saved AI concepts, project notes, optional buyer expressions of interest. No publication of owner identity, contact details or inferred ownership without consent. Allow owner to opt out and revoke buyer enquiries.</w:t>
      </w:r>
    </w:p>
    <w:p>
      <w:pPr>
        <w:pStyle w:val="Heading2"/>
      </w:pPr>
      <w:r>
        <w:t>5. SitePilot Vision</w:t>
      </w:r>
    </w:p>
    <w:p>
      <w:r>
        <w:t>AI renovation visualisation from user-provided photographs or appropriately licensed aerial/street images. Modes: bird’s-eye (pool, granny flat, garden, extension, driveway, subdivision concept), street/exterior (facade, fence, roof), interior (kitchen, bathroom, layout). Prompts, style presets, before/after slider, saved versions, shareable images with clear AI CONCEPT watermark. Visuals are illustrative, not dimensionally accurate or approved plans. Do not assert boundary placement or planning compliance.</w:t>
      </w:r>
    </w:p>
    <w:p>
      <w:pPr>
        <w:pStyle w:val="Heading2"/>
      </w:pPr>
      <w:r>
        <w:t>6. Matterport / 3D</w:t>
      </w:r>
    </w:p>
    <w:p>
      <w:r>
        <w:t>Optional integration: embed authorised Matterport tours in property workspaces using supported sharing/embed arrangements. Link tour locations or screenshots to AI concept previews where permitted. Do not promise live editable Matterport geometry, mesh extraction, or rights to alter third-party scans. Later research developer SDK/API, licensing, 3D editing feasibility and costs. Photo-based Vision must work without Matterport.</w:t>
      </w:r>
    </w:p>
    <w:p>
      <w:pPr>
        <w:pStyle w:val="Heading2"/>
      </w:pPr>
      <w:r>
        <w:t>7. Feasibility and trust</w:t>
      </w:r>
    </w:p>
    <w:p>
      <w:r>
        <w:t>Deterministic, tested financial calculator: purchase price, duty assumptions by state, renovation/build, contingency, finance, holding, rental income, sale costs, taxes, sensitivity and scenario comparisons. AI may explain or extract inputs, but not invent figures or issue legal/planning conclusions. Every metric shows source, as-of date, assumptions, verification status and editable inputs. Development suggestions require council/state and licensed professional checks.</w:t>
      </w:r>
    </w:p>
    <w:p>
      <w:pPr>
        <w:pStyle w:val="Heading2"/>
      </w:pPr>
      <w:r>
        <w:t>8. Professional collaboration</w:t>
      </w:r>
    </w:p>
    <w:p>
      <w:r>
        <w:t>Retain investor and conveyancer dashboards, invitations, firm permissions, matters, tasks, secure document vault, audit logs and AI-assisted evidence-linked contract extraction. Licensed professionals review legal matters. Do not hold trust money or automate settlements. Additional pro categories (surveyors, builders, architects) are later phases, subject to verification and relevant regulations.</w:t>
      </w:r>
    </w:p>
    <w:p>
      <w:pPr>
        <w:pStyle w:val="Heading2"/>
      </w:pPr>
      <w:r>
        <w:t>9. Data and compliance</w:t>
      </w:r>
    </w:p>
    <w:p>
      <w:r>
        <w:t>Do not scrape listing sites or reuse listing images without rights. Prototype with conspicuously labelled synthetic/demo listings. Investigate licensed listing, address, imagery, valuation, planning and parcel datasets by jurisdiction. Keep distinct: listing data, property record, homeowner claim, and user-generated project. Use private storage, Supabase row-level security, encryption, consent, access logs, deletion controls, rate limits and upload validation. Assess Australian privacy, consumer, advertising and property-professional rules before commercial rollout.</w:t>
      </w:r>
    </w:p>
    <w:p>
      <w:pPr>
        <w:pStyle w:val="Heading2"/>
      </w:pPr>
      <w:r>
        <w:t>10. UX and brand</w:t>
      </w:r>
    </w:p>
    <w:p>
      <w:r>
        <w:t>Playful and friendly, credible for high-stakes decisions. Soft blue/green, warm white, rounded cards, large photography, concise plain-English explanations, accessible contrast and large tap targets. Dashboard hero: ‘Find your place. Discover its potential.’ Show value in under 30 seconds. Never require registration for demo discovery; sign-in for saving/syncing and personal documents.</w:t>
      </w:r>
    </w:p>
    <w:p>
      <w:pPr>
        <w:pStyle w:val="Heading2"/>
      </w:pPr>
      <w:r>
        <w:t>11. Architecture</w:t>
      </w:r>
    </w:p>
    <w:p>
      <w:r>
        <w:t>Recommended: Next.js + TypeScript + Tailwind, Supabase Postgres/Auth/Storage with strict RLS, Vercel, provider-agnostic AI service, Stripe sandbox initially, GitHub CI. Suggested entities: users, profiles, properties, property_sources, listings, saved_properties, swipe_events, couples_groups, homeowner_claims, buyer_enquiries, visual_projects, visual_versions, 3d_tours, feasibility_scenarios, evidence, matters, firm_memberships, audit_events, subscriptions. Use feature flags and migrations.</w:t>
      </w:r>
    </w:p>
    <w:p>
      <w:pPr>
        <w:pStyle w:val="Heading2"/>
      </w:pPr>
      <w:r>
        <w:t>12. Fast launch plan: 60–90 day target</w:t>
      </w:r>
    </w:p>
    <w:p>
      <w:r>
        <w:t>Days 1–15: inspect repository, preserve working features, establish UI system, dashboard, synthetic nationwide property fixtures. Days 16–30: two swipe modes, save lists, address workspaces and basic investor calculations. Days 31–45: My Property prototype and photo-to-AI Vision with watermark, cost limits and consent. Days 46–60: optional Matterport embed, security testing, onboarding, analytics, waitlist and limited beta. Days 61–90: licensed data integration where contracts permit, professional/legal review, billing pilot and controlled Australia-wide marketing. Timeline is an ambitious target contingent on integration access and testing.</w:t>
      </w:r>
    </w:p>
    <w:p>
      <w:pPr>
        <w:pStyle w:val="Heading2"/>
      </w:pPr>
      <w:r>
        <w:t>13. Monetisation and distribution</w:t>
      </w:r>
    </w:p>
    <w:p>
      <w:r>
        <w:t>Free guest discovery and limited visual concepts; test paid reports, investor subscription, additional Vision credits, professional seats. Do not finalise pricing without experiments. Acquisition: founder videos, creator demonstrations, app screen recordings, couples sharing, before/after sliders, property comparisons and referrals. Track activation, retention, paid conversion, CAC, gross margin and cost per AI generation. Do not confuse clicks with sustainable revenue.</w:t>
      </w:r>
    </w:p>
    <w:p>
      <w:pPr>
        <w:pStyle w:val="Heading2"/>
      </w:pPr>
      <w:r>
        <w:t>14. Acceptance criteria</w:t>
      </w:r>
    </w:p>
    <w:p>
      <w:r>
        <w:t>A guest can use dashboard and both swipe modes with demo labels. A user can search an address and save a property. An owner claim remains pending until verified. A user uploads an authorised photo, generates an AI-labelled before/after and saves it privately. An authorised Matterport tour embeds without modifying the scan. Feasibility math is tested and editable. RLS prevents cross-user/firm access. No false live data, ownership, zoning, valuation or approval claims.</w:t>
      </w:r>
    </w:p>
    <w:p>
      <w:pPr>
        <w:pStyle w:val="Heading2"/>
      </w:pPr>
      <w:r>
        <w:t>15. Instructions for Claude</w:t>
      </w:r>
    </w:p>
    <w:p>
      <w:r>
        <w:t>Treat this as v2.0 ADDENDUM, not permission to rebuild. Read existing v1.0 blueprint and v1.1 UI pack; inspect current repository and list existing, missing and conflicting features. Produce revised sitemap, wireframes, architecture/data migrations, provider/licensing dependencies, security risk register, feature flags and a sprint-by-sprint plan. Ask approval before schema or breaking changes. Implement dashboard + demo Discover first, with tests, screenshots and changed-file summary. Then proceed in reviewed increments. Never invent data-provider access or legal verification.</w:t>
      </w:r>
    </w:p>
    <w:p>
      <w:pPr>
        <w:pStyle w:val="Heading2"/>
      </w:pPr>
      <w:r>
        <w:t>Copy/paste prompt for Claude</w:t>
      </w:r>
    </w:p>
    <w:p>
      <w:r>
        <w:t>Please treat the attached SitePilot AI Master Blueprint v2.0 as an addendum to our existing SitePilot project, not a replacement. Audit the current code and earlier blueprints. Preserve all working functionality. First return a gap analysis, updated navigation and screen plan, data model changes, licensing dependencies, risks and a staged 60–90 day build plan. Do not make destructive changes. Begin implementation only after I approve your plan. Prioritise a playful dashboard, two demo swipe journeys, My Property and photo-based Vision. Keep Matterport optional and separate.</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SITEPILOT AI  /  MASTER PRODUCT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