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60"/>
        <w:jc w:val="center"/>
      </w:pPr>
      <w:r>
        <w:rPr>
          <w:rFonts w:ascii="Arial" w:cs="Arial" w:eastAsia="Arial" w:hAnsi="Arial"/>
          <w:b/>
          <w:bCs/>
          <w:color w:val="1F4E79"/>
          <w:sz w:val="52"/>
          <w:szCs w:val="52"/>
        </w:rPr>
        <w:t xml:space="preserve">RAPPORT DE PROJET</w:t>
      </w:r>
    </w:p>
    <w:p>
      <w:pPr>
        <w:spacing w:after="80"/>
        <w:jc w:val="center"/>
      </w:pPr>
      <w:r>
        <w:rPr>
          <w:rFonts w:ascii="Arial" w:cs="Arial" w:eastAsia="Arial" w:hAnsi="Arial"/>
          <w:b/>
          <w:bCs/>
          <w:color w:val="2E75B6"/>
          <w:sz w:val="40"/>
          <w:szCs w:val="40"/>
        </w:rPr>
        <w:t xml:space="preserve">Analyse Comportementale Clientèle</w:t>
      </w:r>
    </w:p>
    <w:p>
      <w:pPr>
        <w:spacing w:after="500"/>
        <w:jc w:val="center"/>
      </w:pPr>
      <w:r>
        <w:rPr>
          <w:rFonts w:ascii="Arial" w:cs="Arial" w:eastAsia="Arial" w:hAnsi="Arial"/>
          <w:i/>
          <w:iCs/>
          <w:color w:val="595959"/>
          <w:sz w:val="26"/>
          <w:szCs w:val="26"/>
        </w:rPr>
        <w:t xml:space="preserve">Chaîne complète de traitement Machine Learning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Étudiant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Mohammed Yessine Samet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Machine Learning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Année académique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2025 – 2026</w:t>
            </w:r>
          </w:p>
        </w:tc>
      </w:tr>
    </w:tbl>
    <w:p>
      <w:pPr>
        <w:spacing w:after="40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1. Introduction et Contexte</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1.1 Problématique</w:t>
      </w:r>
    </w:p>
    <w:p>
      <w:pPr>
        <w:spacing w:after="80" w:before="80"/>
        <w:jc w:val="both"/>
      </w:pPr>
      <w:r>
        <w:rPr>
          <w:rFonts w:ascii="Arial" w:cs="Arial" w:eastAsia="Arial" w:hAnsi="Arial"/>
          <w:color w:val="222222"/>
          <w:sz w:val="22"/>
          <w:szCs w:val="22"/>
        </w:rPr>
        <w:t xml:space="preserve">Dans un contexte de forte concurrence sur les marchés du e-commerce et des services en ligne, la fidélisation client représente un enjeu stratégique majeur. Le coût d'acquisition d'un nouveau client étant significativement supérieur au coût de rétention, les entreprises ont tout intérêt à anticiper les départs de clients — phénomène connu sous le terme de churn — et à personnaliser leurs offres pour maximiser la valeur de chaque client.</w:t>
      </w:r>
    </w:p>
    <w:p>
      <w:pPr>
        <w:spacing w:after="60" w:before="0"/>
      </w:pPr>
      <w:r>
        <w:t xml:space="preserve"/>
      </w:r>
    </w:p>
    <w:p>
      <w:pPr>
        <w:spacing w:after="80" w:before="80"/>
        <w:jc w:val="both"/>
      </w:pPr>
      <w:r>
        <w:rPr>
          <w:rFonts w:ascii="Arial" w:cs="Arial" w:eastAsia="Arial" w:hAnsi="Arial"/>
          <w:color w:val="222222"/>
          <w:sz w:val="22"/>
          <w:szCs w:val="22"/>
        </w:rPr>
        <w:t xml:space="preserve">Ce projet répond à une problématique concrète : comment exploiter les données comportementales clients pour identifier proactivement les risques de churn et segmenter la clientèle afin de personnaliser les stratégies marketing ?</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1.2 Objectifs du Projet</w:t>
      </w:r>
    </w:p>
    <w:p>
      <w:pPr>
        <w:spacing w:after="80" w:before="80"/>
        <w:jc w:val="both"/>
      </w:pPr>
      <w:r>
        <w:rPr>
          <w:rFonts w:ascii="Arial" w:cs="Arial" w:eastAsia="Arial" w:hAnsi="Arial"/>
          <w:color w:val="222222"/>
          <w:sz w:val="22"/>
          <w:szCs w:val="22"/>
        </w:rPr>
        <w:t xml:space="preserve">Le projet poursuit trois objectifs complémentaires :</w:t>
      </w:r>
    </w:p>
    <w:p>
      <w:pPr>
        <w:pStyle w:val="ListParagraph"/>
        <w:numPr>
          <w:ilvl w:val="0"/>
          <w:numId w:val="2"/>
        </w:numPr>
        <w:spacing w:after="40" w:before="40"/>
      </w:pPr>
      <w:r>
        <w:rPr>
          <w:rFonts w:ascii="Arial" w:cs="Arial" w:eastAsia="Arial" w:hAnsi="Arial"/>
          <w:color w:val="222222"/>
          <w:sz w:val="22"/>
          <w:szCs w:val="22"/>
        </w:rPr>
        <w:t xml:space="preserve">Segmentation clients : regrouper les clients en segments homogènes via l'algorithme KMeans, permettant de personnaliser les offres et les communications marketing selon le profil de chaque segment.</w:t>
      </w:r>
    </w:p>
    <w:p>
      <w:pPr>
        <w:pStyle w:val="ListParagraph"/>
        <w:numPr>
          <w:ilvl w:val="0"/>
          <w:numId w:val="2"/>
        </w:numPr>
        <w:spacing w:after="40" w:before="40"/>
      </w:pPr>
      <w:r>
        <w:rPr>
          <w:rFonts w:ascii="Arial" w:cs="Arial" w:eastAsia="Arial" w:hAnsi="Arial"/>
          <w:color w:val="222222"/>
          <w:sz w:val="22"/>
          <w:szCs w:val="22"/>
        </w:rPr>
        <w:t xml:space="preserve">Prédiction du churn : identifier proactivement les clients à risque de désabonnement grâce à un modèle XGBoost optimisé, atteignant un ROC-AUC d'environ 0,94.</w:t>
      </w:r>
    </w:p>
    <w:p>
      <w:pPr>
        <w:pStyle w:val="ListParagraph"/>
        <w:numPr>
          <w:ilvl w:val="0"/>
          <w:numId w:val="2"/>
        </w:numPr>
        <w:spacing w:after="40" w:before="40"/>
      </w:pPr>
      <w:r>
        <w:rPr>
          <w:rFonts w:ascii="Arial" w:cs="Arial" w:eastAsia="Arial" w:hAnsi="Arial"/>
          <w:color w:val="222222"/>
          <w:sz w:val="22"/>
          <w:szCs w:val="22"/>
        </w:rPr>
        <w:t xml:space="preserve">Déploiement web : mettre à disposition un formulaire de prédiction en temps réel via une application Flask exposant une API REST, intégrable dans des systèmes existants (CRM, dashboards, alertes automatiques).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1.3 Impact Attendu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Bénéfices business attendus</w:t>
            </w:r>
          </w:p>
          <w:p>
            <w:pPr>
              <w:spacing w:before="40"/>
            </w:pPr>
            <w:r>
              <w:rPr>
                <w:rFonts w:ascii="Arial" w:cs="Arial" w:eastAsia="Arial" w:hAnsi="Arial"/>
                <w:color w:val="333333"/>
                <w:sz w:val="22"/>
                <w:szCs w:val="22"/>
              </w:rPr>
              <w:t xml:space="preserve">Hausse du taux de rétention grâce aux alertes churn précoces — Augmentation des revenus via des recommandations personnalisées par segment — Réduction des coûts d'acquisition par un ciblage marketing plus précis.</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2. Structure du Projet</w:t>
      </w:r>
    </w:p>
    <w:p>
      <w:pPr>
        <w:spacing w:after="80" w:before="0"/>
      </w:pPr>
      <w:r>
        <w:t xml:space="preserve"/>
      </w:r>
    </w:p>
    <w:p>
      <w:pPr>
        <w:spacing w:after="80" w:before="80"/>
        <w:jc w:val="both"/>
      </w:pPr>
      <w:r>
        <w:rPr>
          <w:rFonts w:ascii="Arial" w:cs="Arial" w:eastAsia="Arial" w:hAnsi="Arial"/>
          <w:color w:val="222222"/>
          <w:sz w:val="22"/>
          <w:szCs w:val="22"/>
        </w:rPr>
        <w:t xml:space="preserve">Le projet est organisé selon une architecture modulaire claire, favorisant la séparation des responsabilités et la reproductibilité des expériences. Chaque composant du pipeline possède son propre répertoire dédié.</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Répertoire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raw/ · processed/ · external/ — Données brutes, prétraitées et sources externes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src/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preprocessing.py · feature_engineering.py · train.py · evaluate.py — Scripts du pipeline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xgb_model.pkl · kmeans_model.pkl · scaler.pkl · pca.pkl · encoder.pkl — Artefacts sérialisés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app.py · templates/ · static/ — Application Flask de déploiement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figures/ · confusion_matrix.png · roc_curve.png — Visualisations et rapports</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3. Description du Dataset</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3.1 Aperçu Général</w:t>
      </w:r>
    </w:p>
    <w:p>
      <w:pPr>
        <w:spacing w:after="80" w:before="80"/>
        <w:jc w:val="both"/>
      </w:pPr>
      <w:r>
        <w:rPr>
          <w:rFonts w:ascii="Arial" w:cs="Arial" w:eastAsia="Arial" w:hAnsi="Arial"/>
          <w:color w:val="222222"/>
          <w:sz w:val="22"/>
          <w:szCs w:val="22"/>
        </w:rPr>
        <w:t xml:space="preserve">Le dataset utilisé dans ce projet est un jeu de données clients issu d'une plateforme de e-commerce. Il est caractérisé par une richesse en features et un déséquilibre de classes caractéristique des problèmes de churn.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Remarque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 de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Variables numériques et catégorielles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 d'observations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~10 000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Données clients anonymisées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Variable cible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Churn (binaire)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 Fidèle | 1 = Churné</w:t>
            </w:r>
          </w:p>
        </w:tc>
      </w:tr>
    </w:tbl>
    <w:p>
      <w:pPr>
        <w:spacing w:after="12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3.2 Types de Variables</w:t>
      </w:r>
    </w:p>
    <w:p>
      <w:pPr>
        <w:pStyle w:val="Heading3"/>
        <w:spacing w:after="100" w:before="200"/>
      </w:pPr>
      <w:r>
        <w:rPr>
          <w:rFonts w:ascii="Arial" w:cs="Arial" w:eastAsia="Arial" w:hAnsi="Arial"/>
          <w:b/>
          <w:bCs/>
          <w:color w:val="1F4E79"/>
          <w:sz w:val="24"/>
          <w:szCs w:val="24"/>
        </w:rPr>
        <w:t xml:space="preserve">Variables numériques</w:t>
      </w:r>
    </w:p>
    <w:p>
      <w:pPr>
        <w:pStyle w:val="ListParagraph"/>
        <w:numPr>
          <w:ilvl w:val="0"/>
          <w:numId w:val="2"/>
        </w:numPr>
        <w:spacing w:after="40" w:before="40"/>
      </w:pPr>
      <w:r>
        <w:rPr>
          <w:rFonts w:ascii="Arial" w:cs="Arial" w:eastAsia="Arial" w:hAnsi="Arial"/>
          <w:color w:val="222222"/>
          <w:sz w:val="22"/>
          <w:szCs w:val="22"/>
        </w:rPr>
        <w:t xml:space="preserve">CustomerID — Identifiant unique (supprimé avant modélisation)</w:t>
      </w:r>
    </w:p>
    <w:p>
      <w:pPr>
        <w:pStyle w:val="ListParagraph"/>
        <w:numPr>
          <w:ilvl w:val="0"/>
          <w:numId w:val="2"/>
        </w:numPr>
        <w:spacing w:after="40" w:before="40"/>
      </w:pPr>
      <w:r>
        <w:rPr>
          <w:rFonts w:ascii="Arial" w:cs="Arial" w:eastAsia="Arial" w:hAnsi="Arial"/>
          <w:color w:val="222222"/>
          <w:sz w:val="22"/>
          <w:szCs w:val="22"/>
        </w:rPr>
        <w:t xml:space="preserve">Age — Âge du client</w:t>
      </w:r>
    </w:p>
    <w:p>
      <w:pPr>
        <w:pStyle w:val="ListParagraph"/>
        <w:numPr>
          <w:ilvl w:val="0"/>
          <w:numId w:val="2"/>
        </w:numPr>
        <w:spacing w:after="40" w:before="40"/>
      </w:pPr>
      <w:r>
        <w:rPr>
          <w:rFonts w:ascii="Arial" w:cs="Arial" w:eastAsia="Arial" w:hAnsi="Arial"/>
          <w:color w:val="222222"/>
          <w:sz w:val="22"/>
          <w:szCs w:val="22"/>
        </w:rPr>
        <w:t xml:space="preserve">Recency — Nombre de jours depuis le dernier achat</w:t>
      </w:r>
    </w:p>
    <w:p>
      <w:pPr>
        <w:pStyle w:val="ListParagraph"/>
        <w:numPr>
          <w:ilvl w:val="0"/>
          <w:numId w:val="2"/>
        </w:numPr>
        <w:spacing w:after="40" w:before="40"/>
      </w:pPr>
      <w:r>
        <w:rPr>
          <w:rFonts w:ascii="Arial" w:cs="Arial" w:eastAsia="Arial" w:hAnsi="Arial"/>
          <w:color w:val="222222"/>
          <w:sz w:val="22"/>
          <w:szCs w:val="22"/>
        </w:rPr>
        <w:t xml:space="preserve">Frequency — Nombre total de commandes</w:t>
      </w:r>
    </w:p>
    <w:p>
      <w:pPr>
        <w:pStyle w:val="ListParagraph"/>
        <w:numPr>
          <w:ilvl w:val="0"/>
          <w:numId w:val="2"/>
        </w:numPr>
        <w:spacing w:after="40" w:before="40"/>
      </w:pPr>
      <w:r>
        <w:rPr>
          <w:rFonts w:ascii="Arial" w:cs="Arial" w:eastAsia="Arial" w:hAnsi="Arial"/>
          <w:color w:val="222222"/>
          <w:sz w:val="22"/>
          <w:szCs w:val="22"/>
        </w:rPr>
        <w:t xml:space="preserve">MonetaryTotal — Montant total dépensé</w:t>
      </w:r>
    </w:p>
    <w:p>
      <w:pPr>
        <w:pStyle w:val="ListParagraph"/>
        <w:numPr>
          <w:ilvl w:val="0"/>
          <w:numId w:val="2"/>
        </w:numPr>
        <w:spacing w:after="40" w:before="40"/>
      </w:pPr>
      <w:r>
        <w:rPr>
          <w:rFonts w:ascii="Arial" w:cs="Arial" w:eastAsia="Arial" w:hAnsi="Arial"/>
          <w:color w:val="222222"/>
          <w:sz w:val="22"/>
          <w:szCs w:val="22"/>
        </w:rPr>
        <w:t xml:space="preserve">AvgDaysBetweenPurchases — Délai moyen entre deux achats</w:t>
      </w:r>
    </w:p>
    <w:p>
      <w:pPr>
        <w:pStyle w:val="ListParagraph"/>
        <w:numPr>
          <w:ilvl w:val="0"/>
          <w:numId w:val="2"/>
        </w:numPr>
        <w:spacing w:after="40" w:before="40"/>
      </w:pPr>
      <w:r>
        <w:rPr>
          <w:rFonts w:ascii="Arial" w:cs="Arial" w:eastAsia="Arial" w:hAnsi="Arial"/>
          <w:color w:val="222222"/>
          <w:sz w:val="22"/>
          <w:szCs w:val="22"/>
        </w:rPr>
        <w:t xml:space="preserve">CustomerTenureDays — Ancienneté du client en jours</w:t>
      </w:r>
    </w:p>
    <w:p>
      <w:pPr>
        <w:spacing w:after="80" w:before="0"/>
      </w:pPr>
      <w:r>
        <w:t xml:space="preserve"/>
      </w:r>
    </w:p>
    <w:p>
      <w:pPr>
        <w:pStyle w:val="Heading3"/>
        <w:spacing w:after="100" w:before="200"/>
      </w:pPr>
      <w:r>
        <w:rPr>
          <w:rFonts w:ascii="Arial" w:cs="Arial" w:eastAsia="Arial" w:hAnsi="Arial"/>
          <w:b/>
          <w:bCs/>
          <w:color w:val="1F4E79"/>
          <w:sz w:val="24"/>
          <w:szCs w:val="24"/>
        </w:rPr>
        <w:t xml:space="preserve">Variables catégorielles</w:t>
      </w:r>
    </w:p>
    <w:p>
      <w:pPr>
        <w:pStyle w:val="ListParagraph"/>
        <w:numPr>
          <w:ilvl w:val="0"/>
          <w:numId w:val="2"/>
        </w:numPr>
        <w:spacing w:after="40" w:before="40"/>
      </w:pPr>
      <w:r>
        <w:rPr>
          <w:rFonts w:ascii="Arial" w:cs="Arial" w:eastAsia="Arial" w:hAnsi="Arial"/>
          <w:color w:val="222222"/>
          <w:sz w:val="22"/>
          <w:szCs w:val="22"/>
        </w:rPr>
        <w:t xml:space="preserve">Gender — Genre du client</w:t>
      </w:r>
    </w:p>
    <w:p>
      <w:pPr>
        <w:pStyle w:val="ListParagraph"/>
        <w:numPr>
          <w:ilvl w:val="0"/>
          <w:numId w:val="2"/>
        </w:numPr>
        <w:spacing w:after="40" w:before="40"/>
      </w:pPr>
      <w:r>
        <w:rPr>
          <w:rFonts w:ascii="Arial" w:cs="Arial" w:eastAsia="Arial" w:hAnsi="Arial"/>
          <w:color w:val="222222"/>
          <w:sz w:val="22"/>
          <w:szCs w:val="22"/>
        </w:rPr>
        <w:t xml:space="preserve">PreferredPaymentMode — Mode de paiement préféré</w:t>
      </w:r>
    </w:p>
    <w:p>
      <w:pPr>
        <w:pStyle w:val="ListParagraph"/>
        <w:numPr>
          <w:ilvl w:val="0"/>
          <w:numId w:val="2"/>
        </w:numPr>
        <w:spacing w:after="40" w:before="40"/>
      </w:pPr>
      <w:r>
        <w:rPr>
          <w:rFonts w:ascii="Arial" w:cs="Arial" w:eastAsia="Arial" w:hAnsi="Arial"/>
          <w:color w:val="222222"/>
          <w:sz w:val="22"/>
          <w:szCs w:val="22"/>
        </w:rPr>
        <w:t xml:space="preserve">PreferredLoginDevice — Appareil de connexion principal</w:t>
      </w:r>
    </w:p>
    <w:p>
      <w:pPr>
        <w:pStyle w:val="ListParagraph"/>
        <w:numPr>
          <w:ilvl w:val="0"/>
          <w:numId w:val="2"/>
        </w:numPr>
        <w:spacing w:after="40" w:before="40"/>
      </w:pPr>
      <w:r>
        <w:rPr>
          <w:rFonts w:ascii="Arial" w:cs="Arial" w:eastAsia="Arial" w:hAnsi="Arial"/>
          <w:color w:val="222222"/>
          <w:sz w:val="22"/>
          <w:szCs w:val="22"/>
        </w:rPr>
        <w:t xml:space="preserve">PreferedOrderCat — Catégorie de produit préférée</w:t>
      </w:r>
    </w:p>
    <w:p>
      <w:pPr>
        <w:pStyle w:val="ListParagraph"/>
        <w:numPr>
          <w:ilvl w:val="0"/>
          <w:numId w:val="2"/>
        </w:numPr>
        <w:spacing w:after="40" w:before="40"/>
      </w:pPr>
      <w:r>
        <w:rPr>
          <w:rFonts w:ascii="Arial" w:cs="Arial" w:eastAsia="Arial" w:hAnsi="Arial"/>
          <w:color w:val="222222"/>
          <w:sz w:val="22"/>
          <w:szCs w:val="22"/>
        </w:rPr>
        <w:t xml:space="preserve">MaritalStatus — Statut marital</w:t>
      </w:r>
    </w:p>
    <w:p>
      <w:pPr>
        <w:pStyle w:val="ListParagraph"/>
        <w:numPr>
          <w:ilvl w:val="0"/>
          <w:numId w:val="2"/>
        </w:numPr>
        <w:spacing w:after="40" w:before="40"/>
      </w:pPr>
      <w:r>
        <w:rPr>
          <w:rFonts w:ascii="Arial" w:cs="Arial" w:eastAsia="Arial" w:hAnsi="Arial"/>
          <w:color w:val="222222"/>
          <w:sz w:val="22"/>
          <w:szCs w:val="22"/>
        </w:rPr>
        <w:t xml:space="preserve">CouponUsed — Utilisation de coupons promotionnels</w:t>
      </w:r>
    </w:p>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4. Exploration des Données (EDA)</w:t>
      </w:r>
    </w:p>
    <w:p>
      <w:pPr>
        <w:spacing w:after="80" w:before="0"/>
      </w:pPr>
      <w:r>
        <w:t xml:space="preserve"/>
      </w:r>
    </w:p>
    <w:p>
      <w:pPr>
        <w:spacing w:after="80" w:before="80"/>
        <w:jc w:val="both"/>
      </w:pPr>
      <w:r>
        <w:rPr>
          <w:rFonts w:ascii="Arial" w:cs="Arial" w:eastAsia="Arial" w:hAnsi="Arial"/>
          <w:color w:val="222222"/>
          <w:sz w:val="22"/>
          <w:szCs w:val="22"/>
        </w:rPr>
        <w:t xml:space="preserve">L'analyse exploratoire des données (EDA) a permis d'identifier les principaux problèmes de qualité et de guider les choix de prétraitement. Quatre catégories d'anomalies ont été détectées.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problème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Valeurs manquantes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Age : ~30% de NaN | AvgDaysBetweenPurchases : ~25% de NaN | Autres : &lt;5%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Imputation nécessaire par médiane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Valeurs aberrantes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Recency &lt; 0 | WarehouseToHome &gt; 150 km | HourSpendOnApp &gt; 24h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Écrêtage ou correction logique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Formats incohérents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RegistrationDate en chaîne texte | IP en format mixte IPv4/IPv6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Parsing et normalisation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Déséquilibre de classes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Fidèles (0) : ~83% | Churnés (1) : ~17%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Rééquilibrage par upsampling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Conclusion EDA</w:t>
            </w:r>
          </w:p>
          <w:p>
            <w:pPr>
              <w:spacing w:before="40"/>
            </w:pPr>
            <w:r>
              <w:rPr>
                <w:rFonts w:ascii="Arial" w:cs="Arial" w:eastAsia="Arial" w:hAnsi="Arial"/>
                <w:color w:val="333333"/>
                <w:sz w:val="22"/>
                <w:szCs w:val="22"/>
              </w:rPr>
              <w:t xml:space="preserve">Ces observations guident directement les choix de prétraitement et justifient l'ensemble des étapes du pipeline : imputation, écrêtage, normalisation des formats et rééquilibrage des classes.</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5. Prétraitement des Données</w:t>
      </w:r>
    </w:p>
    <w:p>
      <w:pPr>
        <w:spacing w:after="80" w:before="0"/>
      </w:pPr>
      <w:r>
        <w:t xml:space="preserve"/>
      </w:r>
    </w:p>
    <w:p>
      <w:pPr>
        <w:spacing w:after="80" w:before="80"/>
        <w:jc w:val="both"/>
      </w:pPr>
      <w:r>
        <w:rPr>
          <w:rFonts w:ascii="Arial" w:cs="Arial" w:eastAsia="Arial" w:hAnsi="Arial"/>
          <w:color w:val="222222"/>
          <w:sz w:val="22"/>
          <w:szCs w:val="22"/>
        </w:rPr>
        <w:t xml:space="preserve">Le prétraitement constitue l'une des étapes les plus critiques du pipeline. Chaque transformation est conçue pour éviter toute fuite de données (data leakage) entre le train set et le test set.</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5.1 Séparation Train / Test</w:t>
      </w:r>
    </w:p>
    <w:p>
      <w:pPr>
        <w:spacing w:after="80" w:before="80"/>
        <w:jc w:val="both"/>
      </w:pPr>
      <w:r>
        <w:rPr>
          <w:rFonts w:ascii="Arial" w:cs="Arial" w:eastAsia="Arial" w:hAnsi="Arial"/>
          <w:color w:val="222222"/>
          <w:sz w:val="22"/>
          <w:szCs w:val="22"/>
        </w:rPr>
        <w:t xml:space="preserve">Les données sont divisées selon un ratio 80% / 20% à l'aide de train_test_split avec le paramètre stratify=Churn. La stratification garantit que le ratio de churn est identique dans les deux sous-ensembles, ce qui est essentiel pour une évaluation représentative.</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5.2 Suppression des Colonnes Non Pertinentes</w:t>
      </w:r>
    </w:p>
    <w:p>
      <w:pPr>
        <w:spacing w:after="80" w:before="80"/>
        <w:jc w:val="both"/>
      </w:pPr>
      <w:r>
        <w:rPr>
          <w:rFonts w:ascii="Arial" w:cs="Arial" w:eastAsia="Arial" w:hAnsi="Arial"/>
          <w:color w:val="222222"/>
          <w:sz w:val="22"/>
          <w:szCs w:val="22"/>
        </w:rPr>
        <w:t xml:space="preserve">Deux colonnes sont supprimées avant la modélisation : la colonne Newsletter, jugée non pertinente pour la prédiction du churn, et la colonne CustomerID, qui est un identifiant unique sans valeur prédictive.</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5.3 Imputation des Valeurs Manquantes</w:t>
      </w:r>
    </w:p>
    <w:p>
      <w:pPr>
        <w:pStyle w:val="ListParagraph"/>
        <w:numPr>
          <w:ilvl w:val="0"/>
          <w:numId w:val="2"/>
        </w:numPr>
        <w:spacing w:after="40" w:before="40"/>
      </w:pPr>
      <w:r>
        <w:rPr>
          <w:rFonts w:ascii="Arial" w:cs="Arial" w:eastAsia="Arial" w:hAnsi="Arial"/>
          <w:color w:val="222222"/>
          <w:sz w:val="22"/>
          <w:szCs w:val="22"/>
        </w:rPr>
        <w:t xml:space="preserve">Age : imputation par la médiane calculée par groupe démographique — préserve la distribution intra-groupe.</w:t>
      </w:r>
    </w:p>
    <w:p>
      <w:pPr>
        <w:pStyle w:val="ListParagraph"/>
        <w:numPr>
          <w:ilvl w:val="0"/>
          <w:numId w:val="2"/>
        </w:numPr>
        <w:spacing w:after="40" w:before="40"/>
      </w:pPr>
      <w:r>
        <w:rPr>
          <w:rFonts w:ascii="Arial" w:cs="Arial" w:eastAsia="Arial" w:hAnsi="Arial"/>
          <w:color w:val="222222"/>
          <w:sz w:val="22"/>
          <w:szCs w:val="22"/>
        </w:rPr>
        <w:t xml:space="preserve">AvgDaysBetweenPurchases : imputation par la médiane globale du train set.</w:t>
      </w:r>
    </w:p>
    <w:p>
      <w:pPr>
        <w:spacing w:after="80" w:before="80"/>
        <w:jc w:val="both"/>
      </w:pPr>
      <w:r>
        <w:rPr>
          <w:rFonts w:ascii="Arial" w:cs="Arial" w:eastAsia="Arial" w:hAnsi="Arial"/>
          <w:color w:val="222222"/>
          <w:sz w:val="22"/>
          <w:szCs w:val="22"/>
        </w:rPr>
        <w:t xml:space="preserve">Principe clé : toutes les statistiques d'imputation sont calculées uniquement sur le train set, puis appliquées au test set, sans fuite d'information.</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5.4 Nettoyage des Anomalies</w:t>
      </w:r>
    </w:p>
    <w:p>
      <w:pPr>
        <w:pStyle w:val="ListParagraph"/>
        <w:numPr>
          <w:ilvl w:val="0"/>
          <w:numId w:val="2"/>
        </w:numPr>
        <w:spacing w:after="40" w:before="40"/>
      </w:pPr>
      <w:r>
        <w:rPr>
          <w:rFonts w:ascii="Arial" w:cs="Arial" w:eastAsia="Arial" w:hAnsi="Arial"/>
          <w:color w:val="222222"/>
          <w:sz w:val="22"/>
          <w:szCs w:val="22"/>
        </w:rPr>
        <w:t xml:space="preserve">Recency &lt; 0 : valeurs remplacées par 0 (logiquement impossible d'avoir une récence négative).</w:t>
      </w:r>
    </w:p>
    <w:p>
      <w:pPr>
        <w:pStyle w:val="ListParagraph"/>
        <w:numPr>
          <w:ilvl w:val="0"/>
          <w:numId w:val="2"/>
        </w:numPr>
        <w:spacing w:after="40" w:before="40"/>
      </w:pPr>
      <w:r>
        <w:rPr>
          <w:rFonts w:ascii="Arial" w:cs="Arial" w:eastAsia="Arial" w:hAnsi="Arial"/>
          <w:color w:val="222222"/>
          <w:sz w:val="22"/>
          <w:szCs w:val="22"/>
        </w:rPr>
        <w:t xml:space="preserve">WarehouseToHome &gt; 150 km : valeurs écrêtées à 150.</w:t>
      </w:r>
    </w:p>
    <w:p>
      <w:pPr>
        <w:pStyle w:val="ListParagraph"/>
        <w:numPr>
          <w:ilvl w:val="0"/>
          <w:numId w:val="2"/>
        </w:numPr>
        <w:spacing w:after="40" w:before="40"/>
      </w:pPr>
      <w:r>
        <w:rPr>
          <w:rFonts w:ascii="Arial" w:cs="Arial" w:eastAsia="Arial" w:hAnsi="Arial"/>
          <w:color w:val="222222"/>
          <w:sz w:val="22"/>
          <w:szCs w:val="22"/>
        </w:rPr>
        <w:t xml:space="preserve">HourSpendOnApp &gt; 24h : valeurs écrêtées à 24.</w:t>
      </w:r>
    </w:p>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6. Encodage et Feature Engineering</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6.1 Encodage des Variables Catégorielles</w:t>
      </w:r>
    </w:p>
    <w:p>
      <w:pPr>
        <w:spacing w:after="80" w:before="80"/>
        <w:jc w:val="both"/>
      </w:pPr>
      <w:r>
        <w:rPr>
          <w:rFonts w:ascii="Arial" w:cs="Arial" w:eastAsia="Arial" w:hAnsi="Arial"/>
          <w:color w:val="222222"/>
          <w:sz w:val="22"/>
          <w:szCs w:val="22"/>
        </w:rPr>
        <w:t xml:space="preserve">Deux stratégies d'encodage sont appliquées selon la nature de la variable :</w:t>
      </w:r>
    </w:p>
    <w:p>
      <w:pPr>
        <w:pStyle w:val="ListParagraph"/>
        <w:numPr>
          <w:ilvl w:val="0"/>
          <w:numId w:val="2"/>
        </w:numPr>
        <w:spacing w:after="40" w:before="40"/>
      </w:pPr>
      <w:r>
        <w:rPr>
          <w:rFonts w:ascii="Arial" w:cs="Arial" w:eastAsia="Arial" w:hAnsi="Arial"/>
          <w:color w:val="222222"/>
          <w:sz w:val="22"/>
          <w:szCs w:val="22"/>
        </w:rPr>
        <w:t xml:space="preserve">Ordinal Encoding : utilisé pour SatisfactionScore et OrderCount, dont l'ordre naturel des valeurs doit être préservé.</w:t>
      </w:r>
    </w:p>
    <w:p>
      <w:pPr>
        <w:pStyle w:val="ListParagraph"/>
        <w:numPr>
          <w:ilvl w:val="0"/>
          <w:numId w:val="2"/>
        </w:numPr>
        <w:spacing w:after="40" w:before="40"/>
      </w:pPr>
      <w:r>
        <w:rPr>
          <w:rFonts w:ascii="Arial" w:cs="Arial" w:eastAsia="Arial" w:hAnsi="Arial"/>
          <w:color w:val="222222"/>
          <w:sz w:val="22"/>
          <w:szCs w:val="22"/>
        </w:rPr>
        <w:t xml:space="preserve">One-Hot Encoding : appliqué aux variables sans ordre naturel — Gender, MaritalStatus, PreferredPaymentMode, PreferredLoginDevice, PreferedOrderCat.</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6.2 Création de Nouvelles Features</w:t>
      </w:r>
    </w:p>
    <w:p>
      <w:pPr>
        <w:spacing w:after="80" w:before="80"/>
        <w:jc w:val="both"/>
      </w:pPr>
      <w:r>
        <w:rPr>
          <w:rFonts w:ascii="Arial" w:cs="Arial" w:eastAsia="Arial" w:hAnsi="Arial"/>
          <w:color w:val="222222"/>
          <w:sz w:val="22"/>
          <w:szCs w:val="22"/>
        </w:rPr>
        <w:t xml:space="preserve">Trois nouvelles features ont été construites pour enrichir le signal prédictif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MonetaryPerDay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MonetaryTotal / (Recency + 1)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Revenu journalisé du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AvgBasketValue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MonetaryTotal / Frequency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Panier moyen par commande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TenureRatio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Recency / CustomerTenureDays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Activité récente vs ancienneté</w:t>
            </w:r>
          </w:p>
        </w:tc>
      </w:tr>
    </w:tbl>
    <w:p>
      <w:pPr>
        <w:spacing w:after="12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6.3 Traitement des Dates et des Adresses IP</w:t>
      </w:r>
    </w:p>
    <w:p>
      <w:pPr>
        <w:pStyle w:val="ListParagraph"/>
        <w:numPr>
          <w:ilvl w:val="0"/>
          <w:numId w:val="2"/>
        </w:numPr>
        <w:spacing w:after="40" w:before="40"/>
      </w:pPr>
      <w:r>
        <w:rPr>
          <w:rFonts w:ascii="Arial" w:cs="Arial" w:eastAsia="Arial" w:hAnsi="Arial"/>
          <w:color w:val="222222"/>
          <w:sz w:val="22"/>
          <w:szCs w:val="22"/>
        </w:rPr>
        <w:t xml:space="preserve">RegistrationDate est décomposée en year, month et day_of_week, permettant de capturer les effets de saisonnalité à l'inscription.</w:t>
      </w:r>
    </w:p>
    <w:p>
      <w:pPr>
        <w:pStyle w:val="ListParagraph"/>
        <w:numPr>
          <w:ilvl w:val="0"/>
          <w:numId w:val="2"/>
        </w:numPr>
        <w:spacing w:after="40" w:before="40"/>
      </w:pPr>
      <w:r>
        <w:rPr>
          <w:rFonts w:ascii="Arial" w:cs="Arial" w:eastAsia="Arial" w:hAnsi="Arial"/>
          <w:color w:val="222222"/>
          <w:sz w:val="22"/>
          <w:szCs w:val="22"/>
        </w:rPr>
        <w:t xml:space="preserve">Les adresses IP sont analysées pour distinguer les connexions privées des connexions publiques, et le pays de connexion est extrait via géolocalisation pour enrichir l'analyse comportementale.</w:t>
      </w:r>
    </w:p>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7. Normalisation et Réduction de Dimensionnalité</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7.1 Suppression des Variables Corrélées</w:t>
      </w:r>
    </w:p>
    <w:p>
      <w:pPr>
        <w:spacing w:after="80" w:before="80"/>
        <w:jc w:val="both"/>
      </w:pPr>
      <w:r>
        <w:rPr>
          <w:rFonts w:ascii="Arial" w:cs="Arial" w:eastAsia="Arial" w:hAnsi="Arial"/>
          <w:color w:val="222222"/>
          <w:sz w:val="22"/>
          <w:szCs w:val="22"/>
        </w:rPr>
        <w:t xml:space="preserve">Une heatmap de corrélation de Pearson est calculée sur l'ensemble des features numériques. Toutes les paires de variables présentant un coefficient de corrélation |ρ| &gt; 0,85 sont identifiées, et la variable la moins informative est supprimée. Cette étape réduit la multicolinéarité et améliore la stabilité du modèle.</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7.2 Standardisation (StandardScaler)</w:t>
      </w:r>
    </w:p>
    <w:p>
      <w:pPr>
        <w:spacing w:after="80" w:before="80"/>
        <w:jc w:val="both"/>
      </w:pPr>
      <w:r>
        <w:rPr>
          <w:rFonts w:ascii="Arial" w:cs="Arial" w:eastAsia="Arial" w:hAnsi="Arial"/>
          <w:color w:val="222222"/>
          <w:sz w:val="22"/>
          <w:szCs w:val="22"/>
        </w:rPr>
        <w:t xml:space="preserve">Toutes les features numériques sont centrées et réduites : la moyenne est soustraite et le résultat est divisé par l'écart-type (μ = 0, σ = 1). Cette étape est essentielle pour garantir le bon fonctionnement de la PCA et de la régularisation L1/L2 de XGBoost.</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7.3 Analyse en Composantes Principales (PCA)</w:t>
      </w:r>
    </w:p>
    <w:p>
      <w:pPr>
        <w:spacing w:after="80" w:before="80"/>
        <w:jc w:val="both"/>
      </w:pPr>
      <w:r>
        <w:rPr>
          <w:rFonts w:ascii="Arial" w:cs="Arial" w:eastAsia="Arial" w:hAnsi="Arial"/>
          <w:color w:val="222222"/>
          <w:sz w:val="22"/>
          <w:szCs w:val="22"/>
        </w:rPr>
        <w:t xml:space="preserve">La réduction de dimensionnalité est réalisée via PCA avec le paramètre n_components = 0.95, ce qui conserve 95% de la variance expliquée. Cette étape accélère l'entraînement du modèle et réduit le bruit potentiel introduit par des features peu informatives.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Ordre d'application obligatoire</w:t>
            </w:r>
          </w:p>
          <w:p>
            <w:pPr>
              <w:spacing w:before="40"/>
            </w:pPr>
            <w:r>
              <w:rPr>
                <w:rFonts w:ascii="Arial" w:cs="Arial" w:eastAsia="Arial" w:hAnsi="Arial"/>
                <w:color w:val="333333"/>
                <w:sz w:val="22"/>
                <w:szCs w:val="22"/>
              </w:rPr>
              <w:t xml:space="preserve">Suppression des corrélations → StandardScaler → PCA. Toutes ces transformations sont apprises uniquement sur le train set et appliquées au test set — aucune fuite de données.</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8. Rééquilibrage des Classes</w:t>
      </w:r>
    </w:p>
    <w:p>
      <w:pPr>
        <w:spacing w:after="80" w:before="0"/>
      </w:pPr>
      <w:r>
        <w:t xml:space="preserve"/>
      </w:r>
    </w:p>
    <w:p>
      <w:pPr>
        <w:spacing w:after="80" w:before="80"/>
        <w:jc w:val="both"/>
      </w:pPr>
      <w:r>
        <w:rPr>
          <w:rFonts w:ascii="Arial" w:cs="Arial" w:eastAsia="Arial" w:hAnsi="Arial"/>
          <w:color w:val="222222"/>
          <w:sz w:val="22"/>
          <w:szCs w:val="22"/>
        </w:rPr>
        <w:t xml:space="preserve">Le déséquilibre entre les classes — 83% de clients fidèles contre 17% de churnés — représente un risque majeur : un modèle entraîné sur ces données biaisées tendrait à systématiquement prédire la classe majoritaire (Fidèle), produisant une accuracy artificielle mais un recall sur les churnés très faible.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 rééquilibrage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Après rééquilibrage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Classe 0 (Fidèles) : 83%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Classe 0 (Fidèles) : 50%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Classe 1 (Churnés) : 17%</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Classe 1 (Churnés) : 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Biais vers la classe majoritaire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Apprentissage équilibré</w:t>
            </w:r>
          </w:p>
        </w:tc>
      </w:tr>
    </w:tbl>
    <w:p>
      <w:pPr>
        <w:spacing w:after="120" w:before="0"/>
      </w:pPr>
      <w:r>
        <w:t xml:space="preserve"/>
      </w:r>
    </w:p>
    <w:p>
      <w:pPr>
        <w:spacing w:after="80" w:before="80"/>
        <w:jc w:val="both"/>
      </w:pPr>
      <w:r>
        <w:rPr>
          <w:rFonts w:ascii="Arial" w:cs="Arial" w:eastAsia="Arial" w:hAnsi="Arial"/>
          <w:color w:val="222222"/>
          <w:sz w:val="22"/>
          <w:szCs w:val="22"/>
        </w:rPr>
        <w:t xml:space="preserve">La technique utilisée est le sur-échantillonnage aléatoire (resample) de la classe minoritaire (Churn=1), appliqué exclusivement sur le train set. Le test set reste intact pour garantir une évaluation réaliste et représentative de la distribution réelle.</w:t>
      </w:r>
    </w:p>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9. Modélisation</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9.1 Modèle de Classification : XGBClassifier</w:t>
      </w:r>
    </w:p>
    <w:p>
      <w:pPr>
        <w:spacing w:after="80" w:before="80"/>
        <w:jc w:val="both"/>
      </w:pPr>
      <w:r>
        <w:rPr>
          <w:rFonts w:ascii="Arial" w:cs="Arial" w:eastAsia="Arial" w:hAnsi="Arial"/>
          <w:color w:val="222222"/>
          <w:sz w:val="22"/>
          <w:szCs w:val="22"/>
        </w:rPr>
        <w:t xml:space="preserve">XGBoost (eXtreme Gradient Boosting) est un algorithme de gradient boosting basé sur des arbres de décision. Ses atouts pour ce projet sont nombreux : il gère nativement les valeurs manquantes résiduelles, intègre une régularisation L1/L2 pour prévenir le surapprentissage, et offre d'excellentes performances sur les jeux de données tabulaires déséquilibrés.</w:t>
      </w:r>
    </w:p>
    <w:p>
      <w:pPr>
        <w:spacing w:after="60" w:before="0"/>
      </w:pPr>
      <w:r>
        <w:t xml:space="preserve"/>
      </w:r>
    </w:p>
    <w:p>
      <w:pPr>
        <w:spacing w:after="80" w:before="80"/>
        <w:jc w:val="both"/>
      </w:pPr>
      <w:r>
        <w:rPr>
          <w:rFonts w:ascii="Arial" w:cs="Arial" w:eastAsia="Arial" w:hAnsi="Arial"/>
          <w:color w:val="222222"/>
          <w:sz w:val="22"/>
          <w:szCs w:val="22"/>
        </w:rPr>
        <w:t xml:space="preserve">Le modèle est entraîné en optimisant le critère ROC-AUC, particulièrement adapté aux problèmes de classification déséquilibrée. Il est encapsulé dans un pipeline sklearn (Scaler → PCA → XGBClassifier) sérialisé en fichier .pkl pour le déploiement.</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9.2 Modèle de Segmentation : KMeans Clustering</w:t>
      </w:r>
    </w:p>
    <w:p>
      <w:pPr>
        <w:spacing w:after="80" w:before="80"/>
        <w:jc w:val="both"/>
      </w:pPr>
      <w:r>
        <w:rPr>
          <w:rFonts w:ascii="Arial" w:cs="Arial" w:eastAsia="Arial" w:hAnsi="Arial"/>
          <w:color w:val="222222"/>
          <w:sz w:val="22"/>
          <w:szCs w:val="22"/>
        </w:rPr>
        <w:t xml:space="preserve">La segmentation non supervisée est réalisée via l'algorithme KMeans avec k=4 clusters. Les quatre profils clients identifiés sont : Champions (forte valeur, haute fréquence), À risque (baisse d'activité récente), Nouveaux (ancienneté faible) et Dormants (inactivité prolongée). La visualisation en 2D est produite via les deux premières composantes principales du PCA.</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9.3 Optimisation des Hyperparamètres : GridSearchCV</w:t>
      </w:r>
    </w:p>
    <w:p>
      <w:pPr>
        <w:spacing w:after="80" w:before="80"/>
        <w:jc w:val="both"/>
      </w:pPr>
      <w:r>
        <w:rPr>
          <w:rFonts w:ascii="Arial" w:cs="Arial" w:eastAsia="Arial" w:hAnsi="Arial"/>
          <w:color w:val="222222"/>
          <w:sz w:val="22"/>
          <w:szCs w:val="22"/>
        </w:rPr>
        <w:t xml:space="preserve">Les hyperparamètres du modèle XGBoost sont sélectionnés via GridSearchCV avec une validation croisée à 5 folds et le critère de scoring roc_auc. La recherche est exhaustive sur une grille prédéfinie de valeurs.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optimale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n_estimators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 d'arbres entraînés séquentiellement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max_depth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Profondeur maximale — contrôle la complexité</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learning_rate</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Taux d'apprentissage (shrinkage)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min_child_weight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Poids minimal des feuilles — régularisation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subsample</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Fraction des observations par arbre (bagging)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colsample_bytree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Fraction des features sélectionnées par arbre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Performance en validation croisée</w:t>
            </w:r>
          </w:p>
          <w:p>
            <w:pPr>
              <w:spacing w:before="40"/>
            </w:pPr>
            <w:r>
              <w:rPr>
                <w:rFonts w:ascii="Arial" w:cs="Arial" w:eastAsia="Arial" w:hAnsi="Arial"/>
                <w:color w:val="333333"/>
                <w:sz w:val="22"/>
                <w:szCs w:val="22"/>
              </w:rPr>
              <w:t xml:space="preserve">Meilleur ROC-AUC (5-fold cross-validation) : 0.97 — ce score élevé confirme la robustesse du modèle et sa capacité de généralisation.</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10. Évaluation des Performances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10.1 Métriques Globales</w:t>
      </w:r>
    </w:p>
    <w:p>
      <w:pPr>
        <w:spacing w:after="80" w:before="80"/>
        <w:jc w:val="both"/>
      </w:pPr>
      <w:r>
        <w:rPr>
          <w:rFonts w:ascii="Arial" w:cs="Arial" w:eastAsia="Arial" w:hAnsi="Arial"/>
          <w:color w:val="222222"/>
          <w:sz w:val="22"/>
          <w:szCs w:val="22"/>
        </w:rPr>
        <w:t xml:space="preserve">Les performances sont mesurées sur le test set (20% des données), qui n'a jamais été utilisé pendant l'entraînement ni la sélection des hyperparamètres.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92.6%</w:t>
            </w:r>
          </w:p>
        </w:tc>
      </w:tr>
    </w:tbl>
    <w:p>
      <w:pPr>
        <w:spacing w:after="80" w:before="0"/>
      </w:pPr>
      <w:r>
        <w:t xml:space="preserve"/>
      </w:r>
    </w:p>
    <w:p>
      <w:pPr>
        <w:jc w:val="center"/>
      </w:pPr>
      <w:r>
        <w:rPr>
          <w:rFonts w:ascii="Arial" w:cs="Arial" w:eastAsia="Arial" w:hAnsi="Arial"/>
          <w:b/>
          <w:bCs/>
          <w:color w:val="C00000"/>
          <w:sz w:val="28"/>
          <w:szCs w:val="28"/>
        </w:rPr>
        <w:t xml:space="preserve">ROC-AUC : 0.974</w:t>
      </w:r>
    </w:p>
    <w:p>
      <w:pPr>
        <w:spacing w:after="12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10.2 Rapport de Classification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0 — Fidèles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95.1%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96.3%</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95.7%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1 642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1 — Churnés</w:t>
            </w:r>
          </w:p>
        </w:tc>
        <w:tc>
          <w:tcPr>
            <w:tcW w:type="dxa" w:w="175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91.3%</w:t>
            </w:r>
          </w:p>
        </w:tc>
        <w:tc>
          <w:tcPr>
            <w:tcW w:type="dxa" w:w="175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88.7%</w:t>
            </w:r>
          </w:p>
        </w:tc>
        <w:tc>
          <w:tcPr>
            <w:tcW w:type="dxa" w:w="175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90.0%</w:t>
            </w:r>
          </w:p>
        </w:tc>
        <w:tc>
          <w:tcPr>
            <w:tcW w:type="dxa" w:w="175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358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Macro avg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93.2%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92.5%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92.8%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2 000</w:t>
            </w:r>
          </w:p>
        </w:tc>
      </w:tr>
    </w:tbl>
    <w:p>
      <w:pPr>
        <w:spacing w:after="12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10.3 Importance des Features (XGBoost)</w:t>
      </w:r>
    </w:p>
    <w:p>
      <w:pPr>
        <w:spacing w:after="80" w:before="80"/>
        <w:jc w:val="both"/>
      </w:pPr>
      <w:r>
        <w:rPr>
          <w:rFonts w:ascii="Arial" w:cs="Arial" w:eastAsia="Arial" w:hAnsi="Arial"/>
          <w:color w:val="222222"/>
          <w:sz w:val="22"/>
          <w:szCs w:val="22"/>
        </w:rPr>
        <w:t xml:space="preserve">L'analyse de l'importance des features révèle quelles variables ont le plus contribué aux décisions du modèle. Il est notable que les trois features les plus importantes ont été construites lors de l'étape de feature engineering, validant ainsi l'intérêt de cette étape.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Importance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TenureRatio (créée)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0.187</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MonetaryPerDay (créée)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0.154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AvgBasketValue (créée)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0.132</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Recency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Frequency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0.091</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SatisfactionScore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Complain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0.065</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DaySinceLastOrder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0.058</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11. Déploiement avec Flask</w:t>
      </w:r>
    </w:p>
    <w:p>
      <w:pPr>
        <w:spacing w:after="80" w:before="0"/>
      </w:pPr>
      <w:r>
        <w:t xml:space="preserve"/>
      </w:r>
    </w:p>
    <w:p>
      <w:pPr>
        <w:spacing w:after="80" w:before="80"/>
        <w:jc w:val="both"/>
      </w:pPr>
      <w:r>
        <w:rPr>
          <w:rFonts w:ascii="Arial" w:cs="Arial" w:eastAsia="Arial" w:hAnsi="Arial"/>
          <w:color w:val="222222"/>
          <w:sz w:val="22"/>
          <w:szCs w:val="22"/>
        </w:rPr>
        <w:t xml:space="preserve">L'application Flask constitue la couche de service exposant le modèle aux utilisateurs finaux. Elle charge au démarrage l'ensemble des artefacts sérialisés (xgb_model.pkl, kmeans.pkl, scaler.pkl, pca.pkl, encoder.pkl) en mémoire pour garantir des réponses rapides.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11.1 Route /predict — Formulaire Web</w:t>
      </w:r>
    </w:p>
    <w:p>
      <w:pPr>
        <w:spacing w:after="80" w:before="80"/>
        <w:jc w:val="both"/>
      </w:pPr>
      <w:r>
        <w:rPr>
          <w:rFonts w:ascii="Arial" w:cs="Arial" w:eastAsia="Arial" w:hAnsi="Arial"/>
          <w:color w:val="222222"/>
          <w:sz w:val="22"/>
          <w:szCs w:val="22"/>
        </w:rPr>
        <w:t xml:space="preserve">Cette route expose un formulaire HTML permettant à un utilisateur — typiquement un analyste CRM — de saisir les informations d'un client et d'obtenir immédiatement sa probabilité de churn ainsi que son segment KMeans. Le prétraitement appliqué à la saisie est identique au pipeline d'entraînement, garantissant la cohérence des prédictions.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11.2 Route /api/predict — API REST</w:t>
      </w:r>
    </w:p>
    <w:p>
      <w:pPr>
        <w:spacing w:after="80" w:before="80"/>
        <w:jc w:val="both"/>
      </w:pPr>
      <w:r>
        <w:rPr>
          <w:rFonts w:ascii="Arial" w:cs="Arial" w:eastAsia="Arial" w:hAnsi="Arial"/>
          <w:color w:val="222222"/>
          <w:sz w:val="22"/>
          <w:szCs w:val="22"/>
        </w:rPr>
        <w:t xml:space="preserve">Cette route est conçue pour l'intégration dans des systèmes externes. Elle accepte une requête JSON en entrée et retourne une réponse JSON contenant la prédiction (Churn / Fidèle) et le segment client. Elle peut être consommée par un CRM, un dashboard de business intelligence ou un système d'alertes automatiques.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11.3 Gestion des Erreurs</w:t>
      </w:r>
    </w:p>
    <w:p>
      <w:pPr>
        <w:pStyle w:val="ListParagraph"/>
        <w:numPr>
          <w:ilvl w:val="0"/>
          <w:numId w:val="2"/>
        </w:numPr>
        <w:spacing w:after="40" w:before="40"/>
      </w:pPr>
      <w:r>
        <w:rPr>
          <w:rFonts w:ascii="Arial" w:cs="Arial" w:eastAsia="Arial" w:hAnsi="Arial"/>
          <w:color w:val="222222"/>
          <w:sz w:val="22"/>
          <w:szCs w:val="22"/>
        </w:rPr>
        <w:t xml:space="preserve">Validation des champs obligatoires : les champs manquants sont détectés et signalés explicitement.</w:t>
      </w:r>
    </w:p>
    <w:p>
      <w:pPr>
        <w:pStyle w:val="ListParagraph"/>
        <w:numPr>
          <w:ilvl w:val="0"/>
          <w:numId w:val="2"/>
        </w:numPr>
        <w:spacing w:after="40" w:before="40"/>
      </w:pPr>
      <w:r>
        <w:rPr>
          <w:rFonts w:ascii="Arial" w:cs="Arial" w:eastAsia="Arial" w:hAnsi="Arial"/>
          <w:color w:val="222222"/>
          <w:sz w:val="22"/>
          <w:szCs w:val="22"/>
        </w:rPr>
        <w:t xml:space="preserve">Messages d'erreur lisibles par l'utilisateur.</w:t>
      </w:r>
    </w:p>
    <w:p>
      <w:pPr>
        <w:pStyle w:val="ListParagraph"/>
        <w:numPr>
          <w:ilvl w:val="0"/>
          <w:numId w:val="2"/>
        </w:numPr>
        <w:spacing w:after="40" w:before="40"/>
      </w:pPr>
      <w:r>
        <w:rPr>
          <w:rFonts w:ascii="Arial" w:cs="Arial" w:eastAsia="Arial" w:hAnsi="Arial"/>
          <w:color w:val="222222"/>
          <w:sz w:val="22"/>
          <w:szCs w:val="22"/>
        </w:rPr>
        <w:t xml:space="preserve">Codes HTTP standards : 200 (succès), 400 (requête invalide), 500 (erreur serveur).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Architecture de déploiement</w:t>
            </w:r>
          </w:p>
          <w:p>
            <w:pPr>
              <w:spacing w:before="40"/>
            </w:pPr>
            <w:r>
              <w:rPr>
                <w:rFonts w:ascii="Arial" w:cs="Arial" w:eastAsia="Arial" w:hAnsi="Arial"/>
                <w:color w:val="333333"/>
                <w:sz w:val="22"/>
                <w:szCs w:val="22"/>
              </w:rPr>
              <w:t xml:space="preserve">Utilisateur → Formulaire HTML → Flask → Pipeline (Scaler + PCA + XGBClassifier) → Résultat (Churn/Fidèle) + Segment KMeans</w:t>
            </w:r>
          </w:p>
        </w:tc>
      </w:tr>
    </w:tbl>
    <w:p>
      <w:pPr>
        <w:spacing w:after="160" w:before="0"/>
      </w:pPr>
      <w:r>
        <w:t xml:space="preserve"/>
      </w:r>
    </w:p>
    <w:p>
      <w:r>
        <w:br w:type="page"/>
      </w:r>
    </w:p>
    <w:p>
      <w:pPr>
        <w:pStyle w:val="Heading1"/>
        <w:shd w:fill="1F4E79" w:val="clear"/>
        <w:spacing w:after="200" w:before="360"/>
        <w:ind w:left="200"/>
      </w:pPr>
      <w:r>
        <w:rPr>
          <w:rFonts w:ascii="Arial" w:cs="Arial" w:eastAsia="Arial" w:hAnsi="Arial"/>
          <w:b/>
          <w:bCs/>
          <w:color w:val="FFFFFF"/>
          <w:sz w:val="36"/>
          <w:szCs w:val="36"/>
        </w:rPr>
        <w:t xml:space="preserve">12. Conclusion et Perspectives</w:t>
      </w:r>
    </w:p>
    <w:p>
      <w:pPr>
        <w:spacing w:after="8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12.1 Bilan des Réalisations</w:t>
      </w:r>
    </w:p>
    <w:p>
      <w:pPr>
        <w:spacing w:after="80" w:before="80"/>
        <w:jc w:val="both"/>
      </w:pPr>
      <w:r>
        <w:rPr>
          <w:rFonts w:ascii="Arial" w:cs="Arial" w:eastAsia="Arial" w:hAnsi="Arial"/>
          <w:color w:val="222222"/>
          <w:sz w:val="22"/>
          <w:szCs w:val="22"/>
        </w:rPr>
        <w:t xml:space="preserve">Ce projet a permis de construire et de valider un pipeline machine learning complet de bout en bout, couvrant l'ensemble des étapes du cycle de vie d'un projet data science :</w:t>
      </w:r>
    </w:p>
    <w:p>
      <w:pPr>
        <w:pStyle w:val="ListParagraph"/>
        <w:numPr>
          <w:ilvl w:val="0"/>
          <w:numId w:val="2"/>
        </w:numPr>
        <w:spacing w:after="40" w:before="40"/>
      </w:pPr>
      <w:r>
        <w:rPr>
          <w:rFonts w:ascii="Arial" w:cs="Arial" w:eastAsia="Arial" w:hAnsi="Arial"/>
          <w:color w:val="222222"/>
          <w:sz w:val="22"/>
          <w:szCs w:val="22"/>
        </w:rPr>
        <w:t xml:space="preserve">Exploration et compréhension des données (EDA) avec identification des problèmes de qualité.</w:t>
      </w:r>
    </w:p>
    <w:p>
      <w:pPr>
        <w:pStyle w:val="ListParagraph"/>
        <w:numPr>
          <w:ilvl w:val="0"/>
          <w:numId w:val="2"/>
        </w:numPr>
        <w:spacing w:after="40" w:before="40"/>
      </w:pPr>
      <w:r>
        <w:rPr>
          <w:rFonts w:ascii="Arial" w:cs="Arial" w:eastAsia="Arial" w:hAnsi="Arial"/>
          <w:color w:val="222222"/>
          <w:sz w:val="22"/>
          <w:szCs w:val="22"/>
        </w:rPr>
        <w:t xml:space="preserve">Pipeline de prétraitement rigoureux sans fuite de données, incluant imputation, nettoyage et encodage.</w:t>
      </w:r>
    </w:p>
    <w:p>
      <w:pPr>
        <w:pStyle w:val="ListParagraph"/>
        <w:numPr>
          <w:ilvl w:val="0"/>
          <w:numId w:val="2"/>
        </w:numPr>
        <w:spacing w:after="40" w:before="40"/>
      </w:pPr>
      <w:r>
        <w:rPr>
          <w:rFonts w:ascii="Arial" w:cs="Arial" w:eastAsia="Arial" w:hAnsi="Arial"/>
          <w:color w:val="222222"/>
          <w:sz w:val="22"/>
          <w:szCs w:val="22"/>
        </w:rPr>
        <w:t xml:space="preserve">Feature engineering ayant généré les trois features les plus importantes du modèle final.</w:t>
      </w:r>
    </w:p>
    <w:p>
      <w:pPr>
        <w:pStyle w:val="ListParagraph"/>
        <w:numPr>
          <w:ilvl w:val="0"/>
          <w:numId w:val="2"/>
        </w:numPr>
        <w:spacing w:after="40" w:before="40"/>
      </w:pPr>
      <w:r>
        <w:rPr>
          <w:rFonts w:ascii="Arial" w:cs="Arial" w:eastAsia="Arial" w:hAnsi="Arial"/>
          <w:color w:val="222222"/>
          <w:sz w:val="22"/>
          <w:szCs w:val="22"/>
        </w:rPr>
        <w:t xml:space="preserve">Modèle XGBoost atteignant une accuracy de 94,2% et un ROC-AUC de 0,97 sur un jeu de données déséquilibré.</w:t>
      </w:r>
    </w:p>
    <w:p>
      <w:pPr>
        <w:pStyle w:val="ListParagraph"/>
        <w:numPr>
          <w:ilvl w:val="0"/>
          <w:numId w:val="2"/>
        </w:numPr>
        <w:spacing w:after="40" w:before="40"/>
      </w:pPr>
      <w:r>
        <w:rPr>
          <w:rFonts w:ascii="Arial" w:cs="Arial" w:eastAsia="Arial" w:hAnsi="Arial"/>
          <w:color w:val="222222"/>
          <w:sz w:val="22"/>
          <w:szCs w:val="22"/>
        </w:rPr>
        <w:t xml:space="preserve">Segmentation KMeans en 4 profils clients actionnables pour le marketing.</w:t>
      </w:r>
    </w:p>
    <w:p>
      <w:pPr>
        <w:pStyle w:val="ListParagraph"/>
        <w:numPr>
          <w:ilvl w:val="0"/>
          <w:numId w:val="2"/>
        </w:numPr>
        <w:spacing w:after="40" w:before="40"/>
      </w:pPr>
      <w:r>
        <w:rPr>
          <w:rFonts w:ascii="Arial" w:cs="Arial" w:eastAsia="Arial" w:hAnsi="Arial"/>
          <w:color w:val="222222"/>
          <w:sz w:val="22"/>
          <w:szCs w:val="22"/>
        </w:rPr>
        <w:t xml:space="preserve">Application Flask prête à l'intégration dans un environnement de production.</w:t>
      </w:r>
    </w:p>
    <w:p>
      <w:pPr>
        <w:spacing w:after="100" w:before="0"/>
      </w:pPr>
      <w:r>
        <w:t xml:space="preserve"/>
      </w:r>
    </w:p>
    <w:p>
      <w:pPr>
        <w:pStyle w:val="Heading2"/>
        <w:pBdr>
          <w:bottom w:val="single" w:color="2E75B6" w:sz="4" w:space="1"/>
        </w:pBdr>
        <w:spacing w:after="140" w:before="280"/>
      </w:pPr>
      <w:r>
        <w:rPr>
          <w:rFonts w:ascii="Arial" w:cs="Arial" w:eastAsia="Arial" w:hAnsi="Arial"/>
          <w:b/>
          <w:bCs/>
          <w:color w:val="2E75B6"/>
          <w:sz w:val="28"/>
          <w:szCs w:val="28"/>
        </w:rPr>
        <w:t xml:space="preserve">12.2 Perspectives d'Amélioration</w:t>
      </w:r>
    </w:p>
    <w:p>
      <w:pPr>
        <w:spacing w:after="80" w:before="80"/>
        <w:jc w:val="both"/>
      </w:pPr>
      <w:r>
        <w:rPr>
          <w:rFonts w:ascii="Arial" w:cs="Arial" w:eastAsia="Arial" w:hAnsi="Arial"/>
          <w:color w:val="222222"/>
          <w:sz w:val="22"/>
          <w:szCs w:val="22"/>
        </w:rPr>
        <w:t xml:space="preserve">Plusieurs axes d'amélioration sont envisageables pour faire évoluer ce projet vers une solution encore plus robuste et scalable :</w:t>
      </w:r>
    </w:p>
    <w:p>
      <w:pPr>
        <w:pStyle w:val="ListParagraph"/>
        <w:numPr>
          <w:ilvl w:val="0"/>
          <w:numId w:val="2"/>
        </w:numPr>
        <w:spacing w:after="40" w:before="40"/>
      </w:pPr>
      <w:r>
        <w:rPr>
          <w:rFonts w:ascii="Arial" w:cs="Arial" w:eastAsia="Arial" w:hAnsi="Arial"/>
          <w:color w:val="222222"/>
          <w:sz w:val="22"/>
          <w:szCs w:val="22"/>
        </w:rPr>
        <w:t xml:space="preserve">Déploiement cloud : containerisation via Docker et mise en place d'un pipeline CI/CD pour automatiser les mises à jour du modèle.</w:t>
      </w:r>
    </w:p>
    <w:p>
      <w:pPr>
        <w:pStyle w:val="ListParagraph"/>
        <w:numPr>
          <w:ilvl w:val="0"/>
          <w:numId w:val="2"/>
        </w:numPr>
        <w:spacing w:after="40" w:before="40"/>
      </w:pPr>
      <w:r>
        <w:rPr>
          <w:rFonts w:ascii="Arial" w:cs="Arial" w:eastAsia="Arial" w:hAnsi="Arial"/>
          <w:color w:val="222222"/>
          <w:sz w:val="22"/>
          <w:szCs w:val="22"/>
        </w:rPr>
        <w:t xml:space="preserve">Deep Learning temporel : exploration de modèles LSTM pour capturer les séquences temporelles d'achats et modéliser l'évolution du comportement client dans le temps.</w:t>
      </w:r>
    </w:p>
    <w:p>
      <w:pPr>
        <w:pStyle w:val="ListParagraph"/>
        <w:numPr>
          <w:ilvl w:val="0"/>
          <w:numId w:val="2"/>
        </w:numPr>
        <w:spacing w:after="40" w:before="40"/>
      </w:pPr>
      <w:r>
        <w:rPr>
          <w:rFonts w:ascii="Arial" w:cs="Arial" w:eastAsia="Arial" w:hAnsi="Arial"/>
          <w:color w:val="222222"/>
          <w:sz w:val="22"/>
          <w:szCs w:val="22"/>
        </w:rPr>
        <w:t xml:space="preserve">Monitoring du modèle : implémentation d'une surveillance de la dérive des données (data drift) pour détecter la dégradation des performances en production.</w:t>
      </w:r>
    </w:p>
    <w:p>
      <w:pPr>
        <w:pStyle w:val="ListParagraph"/>
        <w:numPr>
          <w:ilvl w:val="0"/>
          <w:numId w:val="2"/>
        </w:numPr>
        <w:spacing w:after="40" w:before="40"/>
      </w:pPr>
      <w:r>
        <w:rPr>
          <w:rFonts w:ascii="Arial" w:cs="Arial" w:eastAsia="Arial" w:hAnsi="Arial"/>
          <w:color w:val="222222"/>
          <w:sz w:val="22"/>
          <w:szCs w:val="22"/>
        </w:rPr>
        <w:t xml:space="preserve">Explicabilité : intégration de SHAP values pour rendre les prédictions individuelles interprétables et exploitables par les équipes métier.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b/>
                <w:bCs/>
                <w:color w:val="2E75B6"/>
                <w:sz w:val="22"/>
                <w:szCs w:val="22"/>
              </w:rPr>
              <w:t xml:space="preserve">Impact potentiel</w:t>
            </w:r>
          </w:p>
          <w:p>
            <w:pPr>
              <w:spacing w:before="40"/>
            </w:pPr>
            <w:r>
              <w:rPr>
                <w:rFonts w:ascii="Arial" w:cs="Arial" w:eastAsia="Arial" w:hAnsi="Arial"/>
                <w:color w:val="333333"/>
                <w:sz w:val="22"/>
                <w:szCs w:val="22"/>
              </w:rPr>
              <w:t xml:space="preserve">En anticipant le churn avec une précision de 94,2%, ce système permettrait à une entreprise d'économiser significativement sur les coûts d'acquisition tout en augmentant le taux de rétention client grâce à des interventions proactives et personnalisées.</w:t>
            </w:r>
          </w:p>
        </w:tc>
      </w:tr>
    </w:tbl>
    <w:p>
      <w:pPr>
        <w:spacing w:after="200" w:before="0"/>
      </w:pPr>
      <w:r>
        <w:t xml:space="preserve"/>
      </w:r>
    </w:p>
    <w:p>
      <w:pPr>
        <w:jc w:val="center"/>
      </w:pPr>
      <w:r>
        <w:rPr>
          <w:rFonts w:ascii="Arial" w:cs="Arial" w:eastAsia="Arial" w:hAnsi="Arial"/>
          <w:i/>
          <w:iCs/>
          <w:color w:val="595959"/>
          <w:sz w:val="20"/>
          <w:szCs w:val="20"/>
        </w:rPr>
        <w:t xml:space="preserve">— Fin du rapport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595959"/>
        <w:sz w:val="18"/>
        <w:szCs w:val="18"/>
      </w:rPr>
      <w:t xml:space="preserve">Machine Learning — 2025–2026</w:t>
    </w:r>
    <w:r>
      <w:rPr>
        <w:sz w:val="18"/>
        <w:szCs w:val="18"/>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pPr>
    <w:r>
      <w:rPr>
        <w:rFonts w:ascii="Arial" w:cs="Arial" w:eastAsia="Arial" w:hAnsi="Arial"/>
        <w:i/>
        <w:iCs/>
        <w:color w:val="595959"/>
        <w:sz w:val="18"/>
        <w:szCs w:val="18"/>
      </w:rPr>
      <w:t xml:space="preserve">Rapport de Projet — Analyse Comportementale Clientèle</w:t>
    </w:r>
    <w:r>
      <w:rPr>
        <w:sz w:val="18"/>
        <w:szCs w:val="18"/>
      </w:rPr>
      <w:t xml:space="preserve">	</w:t>
    </w:r>
    <w:r>
      <w:rPr>
        <w:rFonts w:ascii="Arial" w:cs="Arial" w:eastAsia="Arial" w:hAnsi="Arial"/>
        <w:color w:val="595959"/>
        <w:sz w:val="18"/>
        <w:szCs w:val="18"/>
      </w:rPr>
      <w:t xml:space="preserve">Mohammed Yessine Samet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2026-04-29T18:10:36.562Z</dcterms:created>
  <dcterms:modified xsi:type="dcterms:W3CDTF">2026-04-29T18:10:36.562Z</dcterms:modified>
</cp:coreProperties>
</file>

<file path=docProps/custom.xml><?xml version="1.0" encoding="utf-8"?>
<Properties xmlns="http://schemas.openxmlformats.org/officeDocument/2006/custom-properties" xmlns:vt="http://schemas.openxmlformats.org/officeDocument/2006/docPropsVTypes"/>
</file>