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MoodFlow AI 音乐助手项目总结</w:t>
      </w:r>
    </w:p>
    <w:p>
      <w:pPr>
        <w:pStyle w:val="Heading1"/>
      </w:pPr>
      <w:r>
        <w:t>技术栈：</w:t>
      </w:r>
    </w:p>
    <w:p>
      <w:r>
        <w:t>React、Spring Boot、FastAPI、LangGraph、LangChain、ReAct、RAG、MCP、Redis、PostgreSQL / pgvector、Qdrant、Docker。</w:t>
      </w:r>
    </w:p>
    <w:p>
      <w:pPr>
        <w:pStyle w:val="Heading1"/>
      </w:pPr>
      <w:r>
        <w:t>具体业务描述：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智能策展：</w:t>
      </w:r>
      <w:r>
        <w:t>按场景、情绪、年代，融合目录曲库、知识关联与用户偏好生成歌单，补充关联小众曲目和选曲导语，由 Curator → GeneralChat 承接说明。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聆听旅程 Listening Journey：</w:t>
      </w:r>
      <w:r>
        <w:t>Explorer 生成有序探索路径，代表歌曲映射为播放队列，Curator 播放、GeneralChat 随节点讲解；关系图作为详情，串起“知识 → 播放 → 对话”。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个性化推荐：</w:t>
      </w:r>
      <w:r>
        <w:t>红心／播放历史、知识关联、场景标签三因素加权，策略可配置、可 A/B；以离线红心命中率、在线播放完成率和收藏转化率评估效果。</w:t>
      </w:r>
    </w:p>
    <w:p>
      <w:pPr>
        <w:pStyle w:val="Heading1"/>
      </w:pPr>
      <w:r>
        <w:t>Agent Harness 技术亮点：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路由识别：</w:t>
      </w:r>
      <w:r>
        <w:t>RuleGuard → JEV → TaskOrchestrator 三级级联，Choice 单意图、Noul 多意图；保留否定、任务顺序与依赖，低置信度回退 Hybrid，结合 Guard、Shadow 与灰度验证。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工具治理：</w:t>
      </w:r>
      <w:r>
        <w:t>ToolSpec 注册表与 execute_tool 网关统一契约、授权、幂等和执行策略，串联 Journal、执行、对账与 Receipt；持久化 ACK Outbox 仅补传回执、超时标未知，读操作退避／熔断、未知写入只读对账，业务 Saga 显式补偿。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Context Engineering：</w:t>
      </w:r>
      <w:r>
        <w:t>Agent Pack 按 Agent／阶段隔离、选源、去重和预算压缩；Budgeted Handoff 传目标、约束、进度及 Artifact Ref，以 Immutable History、Session Rollover／Lineage、按需 Drill-down 和 Revalidation 支撑长程任务。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断点续跑：</w:t>
      </w:r>
      <w:r>
        <w:t>Checkpoint + Journal + 幂等 + RecoveryPlanner 恢复进度，核对 Handoff 提交、业务回执与预算；支持 Journal 重建检查点，避免重复副作用。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Structured Output：</w:t>
      </w:r>
      <w:r>
        <w:t>统一 Pydantic 契约，以 JSON Schema／Function Calling 约束生成；语法、Schema、业务语义三层校验，确定性 Repair + 有界 Retry，最终 Fail Closed，校验通过才进入下游或执行工具。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Memory：</w:t>
      </w:r>
      <w:r>
        <w:t>短期 State／Checkpoint 与长期 Profile／Episodic Memory 分层，按用户隔离、版本化和冲突消解，pgvector 召回后纳入上下文预算。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Token 与 Redis：</w:t>
      </w:r>
      <w:r>
        <w:t>L1 调用、L2 Agent、L3 任务三级预算，预留、实耗结算与恢复对账；Redis Lua 原子预留、限流和派生缓存，PostgreSQL 保存权威账本。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RAG：</w:t>
      </w:r>
      <w:r>
        <w:t>Query Understanding → Dense + BM25／RRF 混合召回 → Rerank → Evidence Selection，以 Parent／Child、实体绑定和来源引用支撑知识关系、选曲与讲解。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评测与观测：</w:t>
      </w:r>
      <w:r>
        <w:t>Harness 覆盖路由、工具、Handoff 和故障恢复，RAG 分层评测；统一 Trace／Manifest，追踪结构化输出首轮成功率、修复率、重试率、校验失败率及延迟。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Prompt 版本化：</w:t>
      </w:r>
      <w:r>
        <w:t>以 ID／Version／Variant／SHA-256 固定提示词与调用清单，支持回放追溯、版本对比和灰度。</w:t>
      </w:r>
    </w:p>
    <w:sectPr w:rsidR="00FC693F" w:rsidRPr="0006063C" w:rsidSect="00034616">
      <w:pgSz w:w="11906" w:h="16838"/>
      <w:pgMar w:top="1162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84"/>
        </w:tabs>
        <w:ind w:left="284" w:hanging="17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8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00" w:lineRule="exact"/>
      <w:outlineLvl w:val="0"/>
    </w:pPr>
    <w:rPr>
      <w:rFonts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520" w:lineRule="exact" w:before="8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widowControl/>
      <w:numPr>
        <w:numId w:val="1"/>
      </w:numPr>
      <w:spacing w:line="360" w:lineRule="exact" w:after="80"/>
      <w:ind w:left="283" w:hanging="170"/>
      <w:contextualSpacing/>
    </w:pPr>
    <w:rPr>
      <w:rFonts w:ascii="Times New Roman" w:hAnsi="Times New Roman" w:eastAsia="宋体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MoodFlow AI 音乐助手项目总结</dc:title>
  <dc:subject>技术栈 具体业务描述 技术亮点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