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третьей лабораторной работы - рассмотреть простейшую модель боевых действий – модель Ланчестера.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9c77d31511e4ece93e450cbea58f4e620d96e77"/>
    <w:p>
      <w:pPr>
        <w:pStyle w:val="Heading2"/>
      </w:pPr>
      <w:r>
        <w:t xml:space="preserve">1. Построить графики изменения численности войск армии Х и армии У для модели боевых действий между регулярными войсками.</w:t>
      </w:r>
    </w:p>
    <w:bookmarkEnd w:id="21"/>
    <w:bookmarkStart w:id="22" w:name="X01dc1fd6b6da2c61dd6dfeffb8075fe04c48de9"/>
    <w:p>
      <w:pPr>
        <w:pStyle w:val="Heading2"/>
      </w:pPr>
      <w:r>
        <w:t xml:space="preserve">2. Построить графики изменения численности войск армии Х и армии У для модели ведения боевых действий с участием регулярных войск и партизанских отрядов.</w:t>
      </w:r>
    </w:p>
    <w:bookmarkEnd w:id="22"/>
    <w:bookmarkEnd w:id="23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рассуждения-и-условие"/>
    <w:p>
      <w:pPr>
        <w:pStyle w:val="Heading2"/>
      </w:pPr>
      <w:r>
        <w:t xml:space="preserve">Рассуждения и условие</w:t>
      </w:r>
    </w:p>
    <w:p>
      <w:pPr>
        <w:numPr>
          <w:ilvl w:val="0"/>
          <w:numId w:val="1001"/>
        </w:numPr>
        <w:pStyle w:val="Compact"/>
      </w:pPr>
      <w:r>
        <w:t xml:space="preserve">Рассмотрим простейшую модель боевых действий – модель Ланчестера. В противоборстве будут принимать участие как регулярные войска, так и партизанские отряды. Рассмотрим два случая ведения боевых действий: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отрядов.</w:t>
      </w:r>
    </w:p>
    <w:p>
      <w:pPr>
        <w:numPr>
          <w:ilvl w:val="0"/>
          <w:numId w:val="1003"/>
        </w:numPr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50 000 человек, а в распоряжении страны У армия численностью в 69 000 человек. Для упрощения модели считаем, что коэффициенты a, b, c, h постоянны. Также считаем, что P(t) и Q(t) непрерывные функции.</w:t>
      </w:r>
    </w:p>
    <w:p>
      <w:pPr>
        <w:numPr>
          <w:ilvl w:val="0"/>
          <w:numId w:val="1003"/>
        </w:numPr>
      </w:pPr>
      <w:r>
        <w:t xml:space="preserve">Графики численности войск необходимы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34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72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89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43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)</m:t>
        </m:r>
      </m:oMath>
    </w:p>
    <w:p>
      <w:pPr>
        <w:numPr>
          <w:ilvl w:val="0"/>
          <w:numId w:val="1005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12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20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y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13</m:t>
        </m:r>
        <m:r>
          <m:t>t</m:t>
        </m:r>
        <m:r>
          <m:rPr>
            <m:sty m:val="p"/>
          </m:rPr>
          <m:t>)</m:t>
        </m:r>
      </m:oMath>
    </w:p>
    <w:bookmarkEnd w:id="24"/>
    <w:bookmarkStart w:id="33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06"/>
        </w:numPr>
        <w:pStyle w:val="Compact"/>
      </w:pPr>
      <w:r>
        <w:t xml:space="preserve">X - численность первой армии, Y - численность второй армии для моего варианта. (рис. 1)</w:t>
      </w:r>
    </w:p>
    <w:p>
      <w:pPr>
        <w:pStyle w:val="CaptionedFigure"/>
      </w:pPr>
      <w:bookmarkStart w:id="26" w:name="fig:001"/>
      <w:r>
        <w:drawing>
          <wp:inline>
            <wp:extent cx="5334000" cy="302601"/>
            <wp:effectExtent b="0" l="0" r="0" t="0"/>
            <wp:docPr descr="Figure 1: Численности арми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Численности армий</w:t>
      </w:r>
    </w:p>
    <w:p>
      <w:pPr>
        <w:numPr>
          <w:ilvl w:val="0"/>
          <w:numId w:val="1007"/>
        </w:numPr>
        <w:pStyle w:val="Compact"/>
      </w:pPr>
      <w:r>
        <w:t xml:space="preserve">Константы для боя между регулярными войсками:</w:t>
      </w:r>
    </w:p>
    <w:p>
      <w:pPr>
        <w:pStyle w:val="FirstParagraph"/>
      </w:pPr>
      <w:r>
        <w:t xml:space="preserve">a1 = 0.34 - константа, характеризующая степень влияния различных факторов на потери в бою между регулярными войсками;</w:t>
      </w:r>
    </w:p>
    <w:p>
      <w:pPr>
        <w:pStyle w:val="BodyText"/>
      </w:pPr>
      <w:r>
        <w:t xml:space="preserve">b1 = 0.72 - эффективность боевых действий армии у в бою между регулярными войсками;</w:t>
      </w:r>
    </w:p>
    <w:p>
      <w:pPr>
        <w:pStyle w:val="BodyText"/>
      </w:pPr>
      <w:r>
        <w:t xml:space="preserve">c1 = 0.89 - эффективность боевых действий армии х в бою между регулярными войсками;</w:t>
      </w:r>
    </w:p>
    <w:p>
      <w:pPr>
        <w:pStyle w:val="BodyText"/>
      </w:pPr>
      <w:r>
        <w:t xml:space="preserve">h1 = 0.43 - константа, характеризующая степень влияния различных факторов на потери в бою между регулярными войсками. (рис. 2)</w:t>
      </w:r>
    </w:p>
    <w:p>
      <w:pPr>
        <w:pStyle w:val="CaptionedFigure"/>
      </w:pPr>
      <w:bookmarkStart w:id="28" w:name="fig:002"/>
      <w:r>
        <w:drawing>
          <wp:inline>
            <wp:extent cx="5334000" cy="450541"/>
            <wp:effectExtent b="0" l="0" r="0" t="0"/>
            <wp:docPr descr="Figure 2: Константы для бо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Константы для боя между регулярными войсками</w:t>
      </w:r>
    </w:p>
    <w:p>
      <w:pPr>
        <w:numPr>
          <w:ilvl w:val="0"/>
          <w:numId w:val="1008"/>
        </w:numPr>
        <w:pStyle w:val="Compact"/>
      </w:pPr>
      <w:r>
        <w:t xml:space="preserve">Константы для боя между регулярными войсками и партизанскими отрядами:</w:t>
      </w:r>
    </w:p>
    <w:p>
      <w:pPr>
        <w:pStyle w:val="FirstParagraph"/>
      </w:pPr>
      <w:r>
        <w:t xml:space="preserve">a2 = 0.12 - константа, характеризующая степень влияния различных факторов на потери в бою между регулярными войсками и партизанскими отрядами;</w:t>
      </w:r>
    </w:p>
    <w:p>
      <w:pPr>
        <w:pStyle w:val="BodyText"/>
      </w:pPr>
      <w:r>
        <w:t xml:space="preserve">b2 = 0.51 - эффективность боевых действий армии у в бою между регулярными войсками и партизанскими отрядами;</w:t>
      </w:r>
    </w:p>
    <w:p>
      <w:pPr>
        <w:pStyle w:val="BodyText"/>
      </w:pPr>
      <w:r>
        <w:t xml:space="preserve">c2 = 0.3 - эффективность боевых действий армии х в бою между регулярными войсками и партизанскими отрядами;</w:t>
      </w:r>
    </w:p>
    <w:p>
      <w:pPr>
        <w:pStyle w:val="BodyText"/>
      </w:pPr>
      <w:r>
        <w:t xml:space="preserve">h2 = 0.61 - константа, характеризующая степень влияния различных факторов на потери в бою между регулярными войсками и партизанскими отрядами. (рис. 3)</w:t>
      </w:r>
    </w:p>
    <w:p>
      <w:pPr>
        <w:pStyle w:val="CaptionedFigure"/>
      </w:pPr>
      <w:bookmarkStart w:id="30" w:name="fig:003"/>
      <w:r>
        <w:drawing>
          <wp:inline>
            <wp:extent cx="5334000" cy="427136"/>
            <wp:effectExtent b="0" l="0" r="0" t="0"/>
            <wp:docPr descr="Figure 3: Константы для боя между регулярными войсками и партизанскими отрядам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Константы для боя между регулярными войсками и партизанскими отрядами</w:t>
      </w:r>
    </w:p>
    <w:p>
      <w:pPr>
        <w:numPr>
          <w:ilvl w:val="0"/>
          <w:numId w:val="1009"/>
        </w:numPr>
        <w:pStyle w:val="Compact"/>
      </w:pPr>
      <w:r>
        <w:t xml:space="preserve">Следующие строки описывают начальный момент времени (t0 = 0), предельный момент времени (tmax = 1) и шаг изменения времени (dt = 0.05). (рис. 4)</w:t>
      </w:r>
    </w:p>
    <w:p>
      <w:pPr>
        <w:pStyle w:val="CaptionedFigure"/>
      </w:pPr>
      <w:bookmarkStart w:id="32" w:name="fig:004"/>
      <w:r>
        <w:drawing>
          <wp:inline>
            <wp:extent cx="5334000" cy="488214"/>
            <wp:effectExtent b="0" l="0" r="0" t="0"/>
            <wp:docPr descr="Figure 4: Начальные условия времен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Начальные условия времени</w:t>
      </w:r>
    </w:p>
    <w:bookmarkEnd w:id="33"/>
    <w:bookmarkStart w:id="44" w:name="X0b8907fe26a0be4fe6ff7c86ca171bc386b31c3"/>
    <w:p>
      <w:pPr>
        <w:pStyle w:val="Heading2"/>
      </w:pPr>
      <w:r>
        <w:t xml:space="preserve">Составление систем дифференциальных уравнений и их решения</w:t>
      </w:r>
    </w:p>
    <w:p>
      <w:pPr>
        <w:numPr>
          <w:ilvl w:val="0"/>
          <w:numId w:val="1010"/>
        </w:numPr>
        <w:pStyle w:val="Compact"/>
      </w:pPr>
      <w:r>
        <w:t xml:space="preserve">Просчитаем возможность подхода подкрепления к армии х (sin1) и к армии у (cos1) в бою между регулярными войсками. (рис. 5)</w:t>
      </w:r>
    </w:p>
    <w:p>
      <w:pPr>
        <w:pStyle w:val="CaptionedFigure"/>
      </w:pPr>
      <w:bookmarkStart w:id="35" w:name="fig:005"/>
      <w:r>
        <w:drawing>
          <wp:inline>
            <wp:extent cx="5334000" cy="649221"/>
            <wp:effectExtent b="0" l="0" r="0" t="0"/>
            <wp:docPr descr="Figure 5: Подход подкрепления, регулярные войс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Подход подкрепления, регулярные войска</w:t>
      </w:r>
    </w:p>
    <w:p>
      <w:pPr>
        <w:numPr>
          <w:ilvl w:val="0"/>
          <w:numId w:val="1011"/>
        </w:numPr>
        <w:pStyle w:val="Compact"/>
      </w:pPr>
      <w:r>
        <w:t xml:space="preserve">Просчитаем возможность подхода подкрепления к армии х (sin2) и к армии у (cos2) в бою между регулярным войском и партизанским отрядом. (рис. 6)</w:t>
      </w:r>
    </w:p>
    <w:p>
      <w:pPr>
        <w:pStyle w:val="CaptionedFigure"/>
      </w:pPr>
      <w:bookmarkStart w:id="37" w:name="fig:006"/>
      <w:r>
        <w:drawing>
          <wp:inline>
            <wp:extent cx="5334000" cy="596702"/>
            <wp:effectExtent b="0" l="0" r="0" t="0"/>
            <wp:docPr descr="Figure 6: Подход подкрепления, регулярное войско и партизанский отря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Подход подкрепления, регулярное войско и партизанский отряд</w:t>
      </w:r>
    </w:p>
    <w:p>
      <w:pPr>
        <w:numPr>
          <w:ilvl w:val="0"/>
          <w:numId w:val="1012"/>
        </w:numPr>
        <w:pStyle w:val="Compact"/>
      </w:pPr>
      <w:r>
        <w:t xml:space="preserve">Составим системы дифференциальных уравнений изменения численностей первой армии и второй армии регулярных войск. (рис. 7)</w:t>
      </w:r>
    </w:p>
    <w:p>
      <w:pPr>
        <w:pStyle w:val="CaptionedFigure"/>
      </w:pPr>
      <w:bookmarkStart w:id="39" w:name="fig:007"/>
      <w:r>
        <w:drawing>
          <wp:inline>
            <wp:extent cx="5334000" cy="464961"/>
            <wp:effectExtent b="0" l="0" r="0" t="0"/>
            <wp:docPr descr="Figure 7: Изменения численностей армий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7: Изменения численностей армий регулярных войск</w:t>
      </w:r>
    </w:p>
    <w:p>
      <w:pPr>
        <w:numPr>
          <w:ilvl w:val="0"/>
          <w:numId w:val="1013"/>
        </w:numPr>
        <w:pStyle w:val="Compact"/>
      </w:pPr>
      <w:r>
        <w:t xml:space="preserve">Составим системы дифференциальных уравнений изменения численностей армии регулярных войск и партизанского отряда. (рис. 8)</w:t>
      </w:r>
    </w:p>
    <w:p>
      <w:pPr>
        <w:pStyle w:val="CaptionedFigure"/>
      </w:pPr>
      <w:bookmarkStart w:id="41" w:name="fig:008"/>
      <w:r>
        <w:drawing>
          <wp:inline>
            <wp:extent cx="5334000" cy="458838"/>
            <wp:effectExtent b="0" l="0" r="0" t="0"/>
            <wp:docPr descr="Figure 8: Изменения численностей армии регулярного войска и партизанского отряд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8: Изменения численностей армии регулярного войска и партизанского отряда</w:t>
      </w:r>
    </w:p>
    <w:p>
      <w:pPr>
        <w:numPr>
          <w:ilvl w:val="0"/>
          <w:numId w:val="1014"/>
        </w:numPr>
        <w:pStyle w:val="Compact"/>
      </w:pPr>
      <w:r>
        <w:t xml:space="preserve">Следующие строки задают вектор начальных условий (v) и считают решения дифференциальных уравнений (u1 и u2). (рис. 9)</w:t>
      </w:r>
    </w:p>
    <w:p>
      <w:pPr>
        <w:pStyle w:val="CaptionedFigure"/>
      </w:pPr>
      <w:bookmarkStart w:id="43" w:name="fig:009"/>
      <w:r>
        <w:drawing>
          <wp:inline>
            <wp:extent cx="5334000" cy="513872"/>
            <wp:effectExtent b="0" l="0" r="0" t="0"/>
            <wp:docPr descr="Figure 9: Вектор начальных условий и решения дифференциальных уравнен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9: Вектор начальных условий и решения дифференциальных уравнений</w:t>
      </w:r>
    </w:p>
    <w:bookmarkEnd w:id="44"/>
    <w:bookmarkStart w:id="53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15"/>
        </w:numPr>
        <w:pStyle w:val="Compact"/>
      </w:pPr>
      <w:r>
        <w:t xml:space="preserve">Эти строки строят график для модели боевых действий между регулярными войсками. (рис. 10)</w:t>
      </w:r>
    </w:p>
    <w:p>
      <w:pPr>
        <w:pStyle w:val="CaptionedFigure"/>
      </w:pPr>
      <w:bookmarkStart w:id="46" w:name="fig:010"/>
      <w:r>
        <w:drawing>
          <wp:inline>
            <wp:extent cx="5334000" cy="468351"/>
            <wp:effectExtent b="0" l="0" r="0" t="0"/>
            <wp:docPr descr="Figure 10: Построение графика боя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10: Построение графика боя регулярных войск</w:t>
      </w:r>
    </w:p>
    <w:p>
      <w:pPr>
        <w:numPr>
          <w:ilvl w:val="0"/>
          <w:numId w:val="1016"/>
        </w:numPr>
        <w:pStyle w:val="Compact"/>
      </w:pPr>
      <w:r>
        <w:t xml:space="preserve">Так выглядит график для модели боевых действий между регулярными войсками. (рис. 11)</w:t>
      </w:r>
    </w:p>
    <w:p>
      <w:pPr>
        <w:pStyle w:val="CaptionedFigure"/>
      </w:pPr>
      <w:bookmarkStart w:id="48" w:name="fig:011"/>
      <w:r>
        <w:drawing>
          <wp:inline>
            <wp:extent cx="5334000" cy="1458475"/>
            <wp:effectExtent b="0" l="0" r="0" t="0"/>
            <wp:docPr descr="Figure 11: График боя регулярных войск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11: График боя регулярных войск</w:t>
      </w:r>
    </w:p>
    <w:p>
      <w:pPr>
        <w:numPr>
          <w:ilvl w:val="0"/>
          <w:numId w:val="1017"/>
        </w:numPr>
        <w:pStyle w:val="Compact"/>
      </w:pPr>
      <w:r>
        <w:t xml:space="preserve">Эти строки строят график для модели боевых действий между регулярным войском и партизанским отрядом. (рис. 12)</w:t>
      </w:r>
    </w:p>
    <w:p>
      <w:pPr>
        <w:pStyle w:val="CaptionedFigure"/>
      </w:pPr>
      <w:bookmarkStart w:id="50" w:name="fig:012"/>
      <w:r>
        <w:drawing>
          <wp:inline>
            <wp:extent cx="5334000" cy="548935"/>
            <wp:effectExtent b="0" l="0" r="0" t="0"/>
            <wp:docPr descr="Figure 12: Построение графика боя регулярного войска и партизанского отряд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12: Построение графика боя регулярного войска и партизанского отряда</w:t>
      </w:r>
    </w:p>
    <w:p>
      <w:pPr>
        <w:numPr>
          <w:ilvl w:val="0"/>
          <w:numId w:val="1018"/>
        </w:numPr>
        <w:pStyle w:val="Compact"/>
      </w:pPr>
      <w:r>
        <w:t xml:space="preserve">Так выглядит график для модели боевых действий между регулярным войском и партизанским отрядом. (рис. 13)</w:t>
      </w:r>
    </w:p>
    <w:p>
      <w:pPr>
        <w:pStyle w:val="CaptionedFigure"/>
      </w:pPr>
      <w:bookmarkStart w:id="52" w:name="fig:013"/>
      <w:r>
        <w:drawing>
          <wp:inline>
            <wp:extent cx="5334000" cy="1444945"/>
            <wp:effectExtent b="0" l="0" r="0" t="0"/>
            <wp:docPr descr="Figure 13: График боя регулярного войска и партизанского отряд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13: График боя регулярного войска и партизанского отряда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третьей лабораторной работы, я рассмотрела один из примеров простейшей модели боевых действий – модель Ланчестера. Я научилась:</w:t>
      </w:r>
    </w:p>
    <w:p>
      <w:pPr>
        <w:numPr>
          <w:ilvl w:val="0"/>
          <w:numId w:val="1019"/>
        </w:numPr>
      </w:pPr>
      <w:r>
        <w:t xml:space="preserve">Просчитывать возможности подходов подкреплений к армиям;</w:t>
      </w:r>
    </w:p>
    <w:p>
      <w:pPr>
        <w:numPr>
          <w:ilvl w:val="0"/>
          <w:numId w:val="1019"/>
        </w:numPr>
      </w:pPr>
      <w:r>
        <w:t xml:space="preserve">Составлять системы дифференциальных уравнений изменения численностей армий;</w:t>
      </w:r>
    </w:p>
    <w:p>
      <w:pPr>
        <w:numPr>
          <w:ilvl w:val="0"/>
          <w:numId w:val="1019"/>
        </w:numPr>
      </w:pPr>
      <w:r>
        <w:t xml:space="preserve">Строить графики для моделей боевых действий.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Ефремова Ангелина Романовна</dc:creator>
  <dc:language>ru-RU</dc:language>
  <cp:keywords/>
  <dcterms:created xsi:type="dcterms:W3CDTF">2021-02-26T19:13:11Z</dcterms:created>
  <dcterms:modified xsi:type="dcterms:W3CDTF">2021-02-26T19:13:11Z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