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шестой лабораторной работы - рассмотреть простейшую модель эпидемии на примере задачи об эпидемии.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8d129f0d812c7780d3e6c2066c54e498fac27da"/>
    <w:p>
      <w:pPr>
        <w:pStyle w:val="Heading2"/>
      </w:pPr>
      <w:r>
        <w:t xml:space="preserve">Построить графики изменения числа особей в каждой из трех групп, а именно -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1"/>
    <w:bookmarkStart w:id="22" w:name="Xe447b4f012be222131aaf2d15c046ed7c2b1507"/>
    <w:p>
      <w:pPr>
        <w:pStyle w:val="Heading2"/>
      </w:pPr>
      <w:r>
        <w:t xml:space="preserve">Построить графики изменения числа особей в каждой из трех групп, а именно -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End w:id="23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теоретическая-справка"/>
    <w:p>
      <w:pPr>
        <w:pStyle w:val="Heading2"/>
      </w:pPr>
      <w:r>
        <w:t xml:space="preserve">Теоретическая справка</w:t>
      </w:r>
    </w:p>
    <w:p>
      <w:pPr>
        <w:numPr>
          <w:ilvl w:val="0"/>
          <w:numId w:val="1001"/>
        </w:numPr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numPr>
          <w:ilvl w:val="0"/>
          <w:numId w:val="1001"/>
        </w:numPr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S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α</m:t>
                  </m:r>
                  <m:r>
                    <m:t>S</m:t>
                  </m:r>
                </m:e>
                <m:e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t>0</m:t>
                  </m:r>
                </m:e>
                <m:e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l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</m:e>
                <m:e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&gt;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t>I</m:t>
                  </m:r>
                </m:e>
                <m:e>
                  <m:r>
                    <m:t>е</m:t>
                  </m:r>
                  <m:r>
                    <m:t>с</m:t>
                  </m:r>
                  <m:r>
                    <m:t>л</m:t>
                  </m:r>
                  <m:r>
                    <m:t>и</m:t>
                  </m:r>
                  <m:r>
                    <m:t> 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(</m:t>
                  </m:r>
                  <m:r>
                    <m:t>0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≤</m:t>
                  </m:r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R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w:r>
        <w:t xml:space="preserve">,  </w:t>
      </w:r>
      <w:r>
        <w:t xml:space="preserve">, - это коэффициенты заболеваемости и выздоровления соответственно.</w:t>
      </w:r>
    </w:p>
    <w:p>
      <w:pPr>
        <w:numPr>
          <w:ilvl w:val="0"/>
          <w:numId w:val="1003"/>
        </w:numPr>
        <w:pStyle w:val="Compac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4"/>
    <w:bookmarkStart w:id="35" w:name="начальные-условия"/>
    <w:p>
      <w:pPr>
        <w:pStyle w:val="Heading2"/>
      </w:pPr>
      <w:r>
        <w:t xml:space="preserve">Начальные условия</w:t>
      </w:r>
    </w:p>
    <w:p>
      <w:pPr>
        <w:numPr>
          <w:ilvl w:val="0"/>
          <w:numId w:val="1004"/>
        </w:numPr>
        <w:pStyle w:val="Compact"/>
      </w:pPr>
      <w:r>
        <w:t xml:space="preserve">Зададим коэффициент заболеваемости (а), коэффициент выздоровления (b) и коэффициент общей численности популяции (N)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363793"/>
            <wp:effectExtent b="0" l="0" r="0" t="0"/>
            <wp:docPr descr="Коэффициенты заболеваемости, выздоровления и общей численности популяции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Коэффициенты заболеваемости, выздоровления и общей численности популяции</w:t>
      </w:r>
    </w:p>
    <w:p>
      <w:pPr>
        <w:numPr>
          <w:ilvl w:val="0"/>
          <w:numId w:val="1005"/>
        </w:numPr>
        <w:pStyle w:val="Compact"/>
      </w:pPr>
      <w:r>
        <w:t xml:space="preserve">Зададим коэффициент количества инфицированных особей в начальный момент времени (I0) и коэффициент количествa здоровых особей с иммунитетом в начальный момент времени (R0)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8" w:name="fig:002"/>
      <w:r>
        <w:drawing>
          <wp:inline>
            <wp:extent cx="5334000" cy="292477"/>
            <wp:effectExtent b="0" l="0" r="0" t="0"/>
            <wp:docPr descr="Коэффициент количества инфицированных и здоровых особей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Коэффициент количества инфицированных и здоровых особей в начальный момент времени</w:t>
      </w:r>
    </w:p>
    <w:p>
      <w:pPr>
        <w:numPr>
          <w:ilvl w:val="0"/>
          <w:numId w:val="1006"/>
        </w:numPr>
        <w:pStyle w:val="Compact"/>
      </w:pPr>
      <w:r>
        <w:t xml:space="preserve">Зададим количество восприимчивых к болезни особей в начальный момент времени (S0)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0" w:name="fig:003"/>
      <w:r>
        <w:drawing>
          <wp:inline>
            <wp:extent cx="5334000" cy="208204"/>
            <wp:effectExtent b="0" l="0" r="0" t="0"/>
            <wp:docPr descr="Количество восприимчивых к болезни особей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Количество восприимчивых к болезни особей в начальный момент времени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задает количество групп S, I и R в момент времени 0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2" w:name="fig:004"/>
      <w:r>
        <w:drawing>
          <wp:inline>
            <wp:extent cx="5334000" cy="172382"/>
            <wp:effectExtent b="0" l="0" r="0" t="0"/>
            <wp:docPr descr="Количество восприимчивых к болезни особей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Количество восприимчивых к болезни особей в начальный момент времени</w:t>
      </w:r>
    </w:p>
    <w:p>
      <w:pPr>
        <w:numPr>
          <w:ilvl w:val="0"/>
          <w:numId w:val="1008"/>
        </w:numPr>
        <w:pStyle w:val="Compact"/>
      </w:pPr>
      <w:r>
        <w:t xml:space="preserve">Зададим интервал, на котором будем решать задачу и шаг. Задам интервал - [0 , 200] и шаг - 0,01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4" w:name="fig:005"/>
      <w:r>
        <w:drawing>
          <wp:inline>
            <wp:extent cx="5334000" cy="193873"/>
            <wp:effectExtent b="0" l="0" r="0" t="0"/>
            <wp:docPr descr="Интервал и шаг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Интервал и шаг</w:t>
      </w:r>
    </w:p>
    <w:bookmarkEnd w:id="35"/>
    <w:bookmarkStart w:id="48" w:name="X0b8907fe26a0be4fe6ff7c86ca171bc386b31c3"/>
    <w:p>
      <w:pPr>
        <w:pStyle w:val="Heading2"/>
      </w:pPr>
      <w:r>
        <w:t xml:space="preserve">Составление систем дифференциальных уравнений и их решения</w:t>
      </w:r>
    </w:p>
    <w:p>
      <w:pPr>
        <w:numPr>
          <w:ilvl w:val="0"/>
          <w:numId w:val="1009"/>
        </w:numPr>
        <w:pStyle w:val="Compact"/>
      </w:pPr>
      <w:r>
        <w:t xml:space="preserve">Напишем вектор-функцию dinamica1 для решения системы дифференциальных уравнений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7" w:name="fig:006"/>
      <w:r>
        <w:drawing>
          <wp:inline>
            <wp:extent cx="5334000" cy="533400"/>
            <wp:effectExtent b="0" l="0" r="0" t="0"/>
            <wp:docPr descr="Вектор-функция для решения уравнений для I(0) \leq I^{*}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Вектор-функция для решения уравнений 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0"/>
        </w:numPr>
        <w:pStyle w:val="Compact"/>
      </w:pPr>
      <w:r>
        <w:t xml:space="preserve">Напишем вектор-функцию dinamica2 для решения системы дифференциальных уравнений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9" w:name="fig:007"/>
      <w:r>
        <w:drawing>
          <wp:inline>
            <wp:extent cx="5334000" cy="524493"/>
            <wp:effectExtent b="0" l="0" r="0" t="0"/>
            <wp:docPr descr="Вектор-функция для решения уравнений для I(0) &gt; I^{*}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Вектор-функция для решения уравнений для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1"/>
        </w:numPr>
        <w:pStyle w:val="Compact"/>
      </w:pPr>
      <w:r>
        <w:t xml:space="preserve">Следующая строка считает решения дифференциальных уравнений для случая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Решения уравнения с правой частью, заданной dinamica1, с начальным условием x0 на интервале t записываются в матрицу y1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41" w:name="fig:008"/>
      <w:r>
        <w:drawing>
          <wp:inline>
            <wp:extent cx="5334000" cy="183418"/>
            <wp:effectExtent b="0" l="0" r="0" t="0"/>
            <wp:docPr descr="Расчет решений дифференциальных уравнений для случая I(0) \leq I^{*}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Расчет решений дифференциальных уравнений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2"/>
        </w:numPr>
        <w:pStyle w:val="Compact"/>
      </w:pPr>
      <w:r>
        <w:t xml:space="preserve">Следующая строка считает решения дифференциальных уравнений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Решения уравнения с правой частью, заданной dinamica2, с начальным условием x0 на интервале t записываются в матрицу y2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43" w:name="fig:009"/>
      <w:r>
        <w:drawing>
          <wp:inline>
            <wp:extent cx="5334000" cy="192083"/>
            <wp:effectExtent b="0" l="0" r="0" t="0"/>
            <wp:docPr descr="Расчет решений дифференциальных уравнений для случая I(0) &gt; I^{*}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Расчет решений дифференциальных уравнений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3"/>
        </w:numPr>
        <w:pStyle w:val="Compact"/>
      </w:pPr>
      <w:r>
        <w:t xml:space="preserve">Посмотрим массив решений дифференциальных уравнений y1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@fig:010</w:t>
      </w:r>
      <w:r>
        <w:t xml:space="preserve">):</w:t>
      </w:r>
    </w:p>
    <w:p>
      <w:pPr>
        <w:pStyle w:val="CaptionedFigure"/>
      </w:pPr>
      <w:bookmarkStart w:id="45" w:name="fig:010"/>
      <w:r>
        <w:drawing>
          <wp:inline>
            <wp:extent cx="5334000" cy="859530"/>
            <wp:effectExtent b="0" l="0" r="0" t="0"/>
            <wp:docPr descr="Массив решений для случая I(0) \leq I^{*}" title="" id="1" name="Picture"/>
            <a:graphic>
              <a:graphicData uri="http://schemas.openxmlformats.org/drawingml/2006/picture">
                <pic:pic>
                  <pic:nvPicPr>
                    <pic:cNvPr descr="image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Массив решений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4"/>
        </w:numPr>
        <w:pStyle w:val="Compact"/>
      </w:pPr>
      <w:r>
        <w:t xml:space="preserve">Посмотрим массив решений дифференциальных y2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@fig:011</w:t>
      </w:r>
      <w:r>
        <w:t xml:space="preserve">):</w:t>
      </w:r>
    </w:p>
    <w:p>
      <w:pPr>
        <w:pStyle w:val="CaptionedFigure"/>
      </w:pPr>
      <w:bookmarkStart w:id="47" w:name="fig:011"/>
      <w:r>
        <w:drawing>
          <wp:inline>
            <wp:extent cx="5334000" cy="877560"/>
            <wp:effectExtent b="0" l="0" r="0" t="0"/>
            <wp:docPr descr="Массив решений для случая I(0) &gt; I^{*}" title="" id="1" name="Picture"/>
            <a:graphic>
              <a:graphicData uri="http://schemas.openxmlformats.org/drawingml/2006/picture">
                <pic:pic>
                  <pic:nvPicPr>
                    <pic:cNvPr descr="image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Массив решений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48"/>
    <w:bookmarkStart w:id="53" w:name="построение-графиков-решений"/>
    <w:p>
      <w:pPr>
        <w:pStyle w:val="Heading2"/>
      </w:pPr>
      <w:r>
        <w:t xml:space="preserve">Построение графиков решений</w:t>
      </w:r>
    </w:p>
    <w:p>
      <w:pPr>
        <w:numPr>
          <w:ilvl w:val="0"/>
          <w:numId w:val="1015"/>
        </w:numPr>
        <w:pStyle w:val="Compact"/>
      </w:pPr>
      <w:r>
        <w:t xml:space="preserve">Эти строки строят график изменения числа особей в каждой из трех групп, а именно -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50" w:name="fig:012"/>
      <w:r>
        <w:drawing>
          <wp:inline>
            <wp:extent cx="5334000" cy="1965415"/>
            <wp:effectExtent b="0" l="0" r="0" t="0"/>
            <wp:docPr descr="Построение графика изменения числа людей восприимчивых к болезни, но пока здоровых, заболевших людей и имеющих иммунитет к болезни если I(0) \leq I^{*}" title="" id="1" name="Picture"/>
            <a:graphic>
              <a:graphicData uri="http://schemas.openxmlformats.org/drawingml/2006/picture">
                <pic:pic>
                  <pic:nvPicPr>
                    <pic:cNvPr descr="image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Построение графика изменения числа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16"/>
        </w:numPr>
        <w:pStyle w:val="Compact"/>
      </w:pPr>
      <w:r>
        <w:t xml:space="preserve">Эти строки строят график изменения числа особей в каждой из трех групп, а именно -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(рис.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52" w:name="fig:013"/>
      <w:r>
        <w:drawing>
          <wp:inline>
            <wp:extent cx="5334000" cy="1962644"/>
            <wp:effectExtent b="0" l="0" r="0" t="0"/>
            <wp:docPr descr="Построение графика изменения числа людей восприимчивых к болезни, но пока здоровых, заболевших людей и имеющих иммунитет к болезни если I(0) &gt; I^{*}" title="" id="1" name="Picture"/>
            <a:graphic>
              <a:graphicData uri="http://schemas.openxmlformats.org/drawingml/2006/picture">
                <pic:pic>
                  <pic:nvPicPr>
                    <pic:cNvPr descr="images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Построение графика изменения числа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шестой лабораторной работы, я рассмотрела простейшую модель эпидемии на примере задачи об эпидемии.</w:t>
      </w:r>
    </w:p>
    <w:p>
      <w:pPr>
        <w:pStyle w:val="BodyText"/>
      </w:pPr>
      <w:r>
        <w:t xml:space="preserve">В процессе выполнения лабораторной работы я научилась:</w:t>
      </w:r>
    </w:p>
    <w:p>
      <w:pPr>
        <w:numPr>
          <w:ilvl w:val="0"/>
          <w:numId w:val="1017"/>
        </w:numPr>
      </w:pPr>
      <w:r>
        <w:t xml:space="preserve">строить графики изменения числа особей в каждой из трех групп, а именно -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строить графики изменения числа особей в каждой из трех групп, а именно - людей восприимчивых к болезни, но пока здоровых, заболевших людей и имеющих иммунитет к болезни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Ефремова Ангелина Романовна</dc:creator>
  <dc:language>ru-RU</dc:language>
  <cp:keywords/>
  <dcterms:created xsi:type="dcterms:W3CDTF">2021-03-19T18:05:48Z</dcterms:created>
  <dcterms:modified xsi:type="dcterms:W3CDTF">2021-03-19T18:05:48Z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eacher">
    <vt:lpwstr>Кулябов Дмитрий Сергеевич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