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27.png" ContentType="image/png"/>
  <Override PartName="/word/media/rId34.png" ContentType="image/png"/>
  <Override PartName="/word/media/rId29.png" ContentType="image/png"/>
  <Override PartName="/word/media/rId36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седьмой лабораторной работы - рассмотреть модель эффективности рекламы.</w:t>
      </w:r>
    </w:p>
    <w:bookmarkEnd w:id="20"/>
    <w:bookmarkStart w:id="26" w:name="задание"/>
    <w:p>
      <w:pPr>
        <w:pStyle w:val="Heading1"/>
      </w:pPr>
      <w:r>
        <w:t xml:space="preserve">Задание</w:t>
      </w:r>
    </w:p>
    <w:bookmarkStart w:id="21" w:name="Xcf23174b31bb0302a71374d70b54b136ca5249a"/>
    <w:p>
      <w:pPr>
        <w:pStyle w:val="Heading2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rPr>
            <m:sty m:val="p"/>
          </m:rPr>
          <m:t>+</m:t>
        </m:r>
        <m:r>
          <m:t>0.00012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bookmarkEnd w:id="21"/>
    <w:bookmarkStart w:id="22" w:name="Xbda5e0ffb815c0a11eab9b3149981edab54a828"/>
    <w:p>
      <w:pPr>
        <w:pStyle w:val="Heading2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0.000067</m:t>
        </m:r>
        <m:r>
          <m:rPr>
            <m:sty m:val="p"/>
          </m:rPr>
          <m:t>+</m:t>
        </m:r>
        <m:r>
          <m:t>0.38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bookmarkEnd w:id="22"/>
    <w:bookmarkStart w:id="23" w:name="Xc50afb62432c60a3186ec1e335d4da48fba9f32"/>
    <w:p>
      <w:pPr>
        <w:pStyle w:val="Heading2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bookmarkEnd w:id="23"/>
    <w:bookmarkStart w:id="24" w:name="X545f37f27a6dde71ce53a0367e0895fbdefe725"/>
    <w:p>
      <w:pPr>
        <w:pStyle w:val="Heading2"/>
      </w:pPr>
      <w:r>
        <w:t xml:space="preserve">Определить в какой момент времени скорость распространения рекламы будет иметь максимальное значение.</w:t>
      </w:r>
    </w:p>
    <w:bookmarkEnd w:id="24"/>
    <w:bookmarkStart w:id="25" w:name="X715504821d5cfe46e8b79797a8c700f55a69ec2"/>
    <w:p>
      <w:pPr>
        <w:pStyle w:val="Heading2"/>
      </w:pPr>
      <w:r>
        <w:t xml:space="preserve">Ответить на вопросы к лабораторной работе.</w:t>
      </w:r>
    </w:p>
    <w:bookmarkEnd w:id="25"/>
    <w:bookmarkEnd w:id="26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теоретическая-справка"/>
    <w:p>
      <w:pPr>
        <w:pStyle w:val="Heading2"/>
      </w:pPr>
      <w:r>
        <w:t xml:space="preserve">Теоретическая справка</w:t>
      </w:r>
    </w:p>
    <w:p>
      <w:pPr>
        <w:numPr>
          <w:ilvl w:val="0"/>
          <w:numId w:val="1001"/>
        </w:numPr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numPr>
          <w:ilvl w:val="0"/>
          <w:numId w:val="1001"/>
        </w:numPr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numPr>
          <w:ilvl w:val="0"/>
          <w:numId w:val="1001"/>
        </w:numPr>
      </w:pPr>
      <w:r>
        <w:t xml:space="preserve">Модель рекламной кампании описывается следующими величинами. Считаем, чтo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 (рис. 1):</w:t>
      </w:r>
    </w:p>
    <w:p>
      <w:pPr>
        <w:pStyle w:val="CaptionedFigure"/>
      </w:pPr>
      <w:bookmarkStart w:id="28" w:name="fig:021"/>
      <w:r>
        <w:drawing>
          <wp:inline>
            <wp:extent cx="5334000" cy="4083145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\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numPr>
          <w:ilvl w:val="0"/>
          <w:numId w:val="1002"/>
        </w:numPr>
        <w:pStyle w:val="Compac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2):</w:t>
      </w:r>
    </w:p>
    <w:p>
      <w:pPr>
        <w:pStyle w:val="CaptionedFigure"/>
      </w:pPr>
      <w:bookmarkStart w:id="30" w:name="fig:022"/>
      <w:r>
        <w:drawing>
          <wp:inline>
            <wp:extent cx="5334000" cy="2140618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\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логистической кривой</w:t>
      </w:r>
    </w:p>
    <w:bookmarkEnd w:id="31"/>
    <w:bookmarkStart w:id="38" w:name="начальные-условия"/>
    <w:p>
      <w:pPr>
        <w:pStyle w:val="Heading2"/>
      </w:pPr>
      <w:r>
        <w:t xml:space="preserve">Начальные условия</w:t>
      </w:r>
    </w:p>
    <w:p>
      <w:pPr>
        <w:numPr>
          <w:ilvl w:val="0"/>
          <w:numId w:val="1003"/>
        </w:numPr>
        <w:pStyle w:val="Compact"/>
      </w:pPr>
      <w:r>
        <w:t xml:space="preserve">Зададим количество людей, знающих о товаре в начальный момент времени (х0) (рис. 3).</w:t>
      </w:r>
    </w:p>
    <w:p>
      <w:pPr>
        <w:pStyle w:val="CaptionedFigure"/>
      </w:pPr>
      <w:bookmarkStart w:id="33" w:name="fig:001"/>
      <w:r>
        <w:drawing>
          <wp:inline>
            <wp:extent cx="5334000" cy="211004"/>
            <wp:effectExtent b="0" l="0" r="0" t="0"/>
            <wp:docPr descr="Figure 3: Количество людей, знающих о товаре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Количество людей, знающих о товаре в начальный момент времени</w:t>
      </w:r>
    </w:p>
    <w:p>
      <w:pPr>
        <w:numPr>
          <w:ilvl w:val="0"/>
          <w:numId w:val="1004"/>
        </w:numPr>
        <w:pStyle w:val="Compact"/>
      </w:pPr>
      <w:r>
        <w:t xml:space="preserve">Зададим максимальное количество людей, которых может заинтересовать товар (N) (рис. 4).</w:t>
      </w:r>
    </w:p>
    <w:p>
      <w:pPr>
        <w:pStyle w:val="CaptionedFigure"/>
      </w:pPr>
      <w:bookmarkStart w:id="35" w:name="fig:002"/>
      <w:r>
        <w:drawing>
          <wp:inline>
            <wp:extent cx="5334000" cy="206315"/>
            <wp:effectExtent b="0" l="0" r="0" t="0"/>
            <wp:docPr descr="Figure 4: Максимальное количество людей, которых может заинтересовать товар" title="" id="1" name="Picture"/>
            <a:graphic>
              <a:graphicData uri="http://schemas.openxmlformats.org/drawingml/2006/picture">
                <pic:pic>
                  <pic:nvPicPr>
                    <pic:cNvPr descr="images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Максимальное количество людей, которых может заинтересовать товар</w:t>
      </w:r>
    </w:p>
    <w:p>
      <w:pPr>
        <w:numPr>
          <w:ilvl w:val="0"/>
          <w:numId w:val="1005"/>
        </w:numPr>
        <w:pStyle w:val="Compact"/>
      </w:pPr>
      <w:r>
        <w:t xml:space="preserve">Зададим длительность рекламной компании (t) (рис. 5).</w:t>
      </w:r>
    </w:p>
    <w:p>
      <w:pPr>
        <w:pStyle w:val="CaptionedFigure"/>
      </w:pPr>
      <w:bookmarkStart w:id="37" w:name="fig:003"/>
      <w:r>
        <w:drawing>
          <wp:inline>
            <wp:extent cx="5334000" cy="228033"/>
            <wp:effectExtent b="0" l="0" r="0" t="0"/>
            <wp:docPr descr="Figure 5: Длительность рекламной компании" title="" id="1" name="Picture"/>
            <a:graphic>
              <a:graphicData uri="http://schemas.openxmlformats.org/drawingml/2006/picture">
                <pic:pic>
                  <pic:nvPicPr>
                    <pic:cNvPr descr="images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Длительность рекламной компании</w:t>
      </w:r>
    </w:p>
    <w:bookmarkEnd w:id="38"/>
    <w:bookmarkStart w:id="57" w:name="X0b8907fe26a0be4fe6ff7c86ca171bc386b31c3"/>
    <w:p>
      <w:pPr>
        <w:pStyle w:val="Heading2"/>
      </w:pPr>
      <w:r>
        <w:t xml:space="preserve">Составление систем дифференциальных уравнений и их решения</w:t>
      </w:r>
    </w:p>
    <w:p>
      <w:pPr>
        <w:numPr>
          <w:ilvl w:val="0"/>
          <w:numId w:val="1006"/>
        </w:numPr>
        <w:pStyle w:val="Compact"/>
      </w:pPr>
      <w:r>
        <w:t xml:space="preserve">Напишем функции, отвечающие за платную рекламу для 1-го случая (platRek1), 2-го (platRek2) и 3-го (platRek3) и дополнительную для задания функцию platRek4 (рис. 6).</w:t>
      </w:r>
    </w:p>
    <w:p>
      <w:pPr>
        <w:pStyle w:val="CaptionedFigure"/>
      </w:pPr>
      <w:bookmarkStart w:id="40" w:name="fig:004"/>
      <w:r>
        <w:drawing>
          <wp:inline>
            <wp:extent cx="5334000" cy="1410194"/>
            <wp:effectExtent b="0" l="0" r="0" t="0"/>
            <wp:docPr descr="Figure 6: Функции, отвечающие за платную рекламу для 4 случаев" title="" id="1" name="Picture"/>
            <a:graphic>
              <a:graphicData uri="http://schemas.openxmlformats.org/drawingml/2006/picture">
                <pic:pic>
                  <pic:nvPicPr>
                    <pic:cNvPr descr="images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6: Функции, отвечающие за платную рекламу для 4 случаев</w:t>
      </w:r>
    </w:p>
    <w:p>
      <w:pPr>
        <w:numPr>
          <w:ilvl w:val="0"/>
          <w:numId w:val="1007"/>
        </w:numPr>
        <w:pStyle w:val="Compact"/>
      </w:pPr>
      <w:r>
        <w:t xml:space="preserve">Напишем функции, отвечающие за сарафанное радио для 1-го случая (sarafRad1), 2-го (sarafRad2) и 3-го (sarafRad3) и дополнительную для задания функцию sarafRad4 (рис. 7).</w:t>
      </w:r>
    </w:p>
    <w:p>
      <w:pPr>
        <w:pStyle w:val="CaptionedFigure"/>
      </w:pPr>
      <w:bookmarkStart w:id="42" w:name="fig:005"/>
      <w:r>
        <w:drawing>
          <wp:inline>
            <wp:extent cx="5334000" cy="1380332"/>
            <wp:effectExtent b="0" l="0" r="0" t="0"/>
            <wp:docPr descr="Figure 7: Функции, отвечающие за сарафанное радио для 4 случаев" title="" id="1" name="Picture"/>
            <a:graphic>
              <a:graphicData uri="http://schemas.openxmlformats.org/drawingml/2006/picture">
                <pic:pic>
                  <pic:nvPicPr>
                    <pic:cNvPr descr="images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Функции, отвечающие за сарафанное радио для 4 случаев</w:t>
      </w:r>
    </w:p>
    <w:p>
      <w:pPr>
        <w:numPr>
          <w:ilvl w:val="0"/>
          <w:numId w:val="1008"/>
        </w:numPr>
        <w:pStyle w:val="Compact"/>
      </w:pPr>
      <w:r>
        <w:t xml:space="preserve">Запишем уравнения, описывающие распространение рекламы для 1-го случая (raspRek1), 2-го случая (raspRek2) и 3-го случая (raspRek3). Также, напишем уравнения в случае, когда платная реклама равна нулю (raspRek4) и когда сарафанное радио равно нулю (raspRek5) (рис. 8).</w:t>
      </w:r>
    </w:p>
    <w:p>
      <w:pPr>
        <w:pStyle w:val="CaptionedFigure"/>
      </w:pPr>
      <w:bookmarkStart w:id="44" w:name="fig:006"/>
      <w:r>
        <w:drawing>
          <wp:inline>
            <wp:extent cx="5334000" cy="1702340"/>
            <wp:effectExtent b="0" l="0" r="0" t="0"/>
            <wp:docPr descr="Figure 8: Уравнения, описывающие распространение рекламы" title="" id="1" name="Picture"/>
            <a:graphic>
              <a:graphicData uri="http://schemas.openxmlformats.org/drawingml/2006/picture">
                <pic:pic>
                  <pic:nvPicPr>
                    <pic:cNvPr descr="images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Уравнения, описывающие распространение рекламы</w:t>
      </w:r>
    </w:p>
    <w:p>
      <w:pPr>
        <w:numPr>
          <w:ilvl w:val="0"/>
          <w:numId w:val="1009"/>
        </w:numPr>
        <w:pStyle w:val="Compact"/>
      </w:pPr>
      <w:r>
        <w:t xml:space="preserve">Посчитаем решения обыкновенных дифференциальных уравнений для уравнения распространения рекламы для 1-го случая raspRek1 (u1), 2-го случая raspRek2 (u2) и 3-го случая raspRek3 (u3). Также, посчитаем решения уравнения в случае, когда платная реклама равна нулю raspRek4 (u4) и когда сарафанное радио равно нулю raspRek5 (u5) (рис. 9).</w:t>
      </w:r>
    </w:p>
    <w:p>
      <w:pPr>
        <w:pStyle w:val="CaptionedFigure"/>
      </w:pPr>
      <w:bookmarkStart w:id="46" w:name="fig:007"/>
      <w:r>
        <w:drawing>
          <wp:inline>
            <wp:extent cx="5334000" cy="538338"/>
            <wp:effectExtent b="0" l="0" r="0" t="0"/>
            <wp:docPr descr="Figure 9: Решения ОДУ" title="" id="1" name="Picture"/>
            <a:graphic>
              <a:graphicData uri="http://schemas.openxmlformats.org/drawingml/2006/picture">
                <pic:pic>
                  <pic:nvPicPr>
                    <pic:cNvPr descr="images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9: Решения ОДУ</w:t>
      </w:r>
    </w:p>
    <w:p>
      <w:pPr>
        <w:numPr>
          <w:ilvl w:val="0"/>
          <w:numId w:val="1010"/>
        </w:numPr>
        <w:pStyle w:val="Compact"/>
      </w:pPr>
      <w:r>
        <w:t xml:space="preserve">Посмотрим массив решений u1 (рис. 10):</w:t>
      </w:r>
    </w:p>
    <w:p>
      <w:pPr>
        <w:pStyle w:val="CaptionedFigure"/>
      </w:pPr>
      <w:bookmarkStart w:id="48" w:name="fig:008"/>
      <w:r>
        <w:drawing>
          <wp:inline>
            <wp:extent cx="5334000" cy="873374"/>
            <wp:effectExtent b="0" l="0" r="0" t="0"/>
            <wp:docPr descr="Figure 10: Массив решений u1" title="" id="1" name="Picture"/>
            <a:graphic>
              <a:graphicData uri="http://schemas.openxmlformats.org/drawingml/2006/picture">
                <pic:pic>
                  <pic:nvPicPr>
                    <pic:cNvPr descr="images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10: Массив решений u1</w:t>
      </w:r>
    </w:p>
    <w:p>
      <w:pPr>
        <w:pStyle w:val="BodyText"/>
      </w:pPr>
      <w:r>
        <w:t xml:space="preserve">Посмотрим массив решений u2 (рис. 11):</w:t>
      </w:r>
    </w:p>
    <w:p>
      <w:pPr>
        <w:pStyle w:val="CaptionedFigure"/>
      </w:pPr>
      <w:bookmarkStart w:id="50" w:name="fig:009"/>
      <w:r>
        <w:drawing>
          <wp:inline>
            <wp:extent cx="5334000" cy="830384"/>
            <wp:effectExtent b="0" l="0" r="0" t="0"/>
            <wp:docPr descr="Figure 11: Массив решений u2" title="" id="1" name="Picture"/>
            <a:graphic>
              <a:graphicData uri="http://schemas.openxmlformats.org/drawingml/2006/picture">
                <pic:pic>
                  <pic:nvPicPr>
                    <pic:cNvPr descr="images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11: Массив решений u2</w:t>
      </w:r>
    </w:p>
    <w:p>
      <w:pPr>
        <w:pStyle w:val="BodyText"/>
      </w:pPr>
      <w:r>
        <w:t xml:space="preserve">Посмотрим массив решений u3 (рис. 12):</w:t>
      </w:r>
    </w:p>
    <w:p>
      <w:pPr>
        <w:pStyle w:val="CaptionedFigure"/>
      </w:pPr>
      <w:bookmarkStart w:id="52" w:name="fig:010"/>
      <w:r>
        <w:drawing>
          <wp:inline>
            <wp:extent cx="5334000" cy="875878"/>
            <wp:effectExtent b="0" l="0" r="0" t="0"/>
            <wp:docPr descr="Figure 12: Массив решений u3" title="" id="1" name="Picture"/>
            <a:graphic>
              <a:graphicData uri="http://schemas.openxmlformats.org/drawingml/2006/picture">
                <pic:pic>
                  <pic:nvPicPr>
                    <pic:cNvPr descr="images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12: Массив решений u3</w:t>
      </w:r>
    </w:p>
    <w:p>
      <w:pPr>
        <w:pStyle w:val="BodyText"/>
      </w:pPr>
      <w:r>
        <w:t xml:space="preserve">Посмотрим массив решений u4 (рис. 13):</w:t>
      </w:r>
    </w:p>
    <w:p>
      <w:pPr>
        <w:pStyle w:val="CaptionedFigure"/>
      </w:pPr>
      <w:bookmarkStart w:id="54" w:name="fig:011"/>
      <w:r>
        <w:drawing>
          <wp:inline>
            <wp:extent cx="5334000" cy="853637"/>
            <wp:effectExtent b="0" l="0" r="0" t="0"/>
            <wp:docPr descr="Figure 13: Массив решений u4" title="" id="1" name="Picture"/>
            <a:graphic>
              <a:graphicData uri="http://schemas.openxmlformats.org/drawingml/2006/picture">
                <pic:pic>
                  <pic:nvPicPr>
                    <pic:cNvPr descr="images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13: Массив решений u4</w:t>
      </w:r>
    </w:p>
    <w:p>
      <w:pPr>
        <w:pStyle w:val="BodyText"/>
      </w:pPr>
      <w:r>
        <w:t xml:space="preserve">Посмотрим массив решений u5 (рис. 14):</w:t>
      </w:r>
    </w:p>
    <w:p>
      <w:pPr>
        <w:pStyle w:val="CaptionedFigure"/>
      </w:pPr>
      <w:bookmarkStart w:id="56" w:name="fig:012"/>
      <w:r>
        <w:drawing>
          <wp:inline>
            <wp:extent cx="5334000" cy="866958"/>
            <wp:effectExtent b="0" l="0" r="0" t="0"/>
            <wp:docPr descr="Figure 14: Массив решений u5" title="" id="1" name="Picture"/>
            <a:graphic>
              <a:graphicData uri="http://schemas.openxmlformats.org/drawingml/2006/picture">
                <pic:pic>
                  <pic:nvPicPr>
                    <pic:cNvPr descr="images\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14: Массив решений u5</w:t>
      </w:r>
    </w:p>
    <w:bookmarkEnd w:id="57"/>
    <w:bookmarkStart w:id="70" w:name="построение-графиков-решений"/>
    <w:p>
      <w:pPr>
        <w:pStyle w:val="Heading2"/>
      </w:pPr>
      <w:r>
        <w:t xml:space="preserve">Построение графиков решений</w:t>
      </w:r>
    </w:p>
    <w:p>
      <w:pPr>
        <w:numPr>
          <w:ilvl w:val="0"/>
          <w:numId w:val="1011"/>
        </w:numPr>
        <w:pStyle w:val="Compact"/>
      </w:pPr>
      <w:r>
        <w:t xml:space="preserve">Эти строки строят график распространения информации о товаре с учетом платной рекламы и с учетом сарафанного радио для случая 1, то есть случая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rPr>
            <m:sty m:val="p"/>
          </m:rPr>
          <m:t>+</m:t>
        </m:r>
        <m:r>
          <m:t>0.00012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15):</w:t>
      </w:r>
    </w:p>
    <w:p>
      <w:pPr>
        <w:pStyle w:val="CaptionedFigure"/>
      </w:pPr>
      <w:bookmarkStart w:id="59" w:name="fig:013"/>
      <w:r>
        <w:drawing>
          <wp:inline>
            <wp:extent cx="5334000" cy="1975193"/>
            <wp:effectExtent b="0" l="0" r="0" t="0"/>
            <wp:docPr descr="Figure 15: График случая 1" title="" id="1" name="Picture"/>
            <a:graphic>
              <a:graphicData uri="http://schemas.openxmlformats.org/drawingml/2006/picture">
                <pic:pic>
                  <pic:nvPicPr>
                    <pic:cNvPr descr="images\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15: График случая 1</w:t>
      </w:r>
    </w:p>
    <w:p>
      <w:pPr>
        <w:numPr>
          <w:ilvl w:val="0"/>
          <w:numId w:val="1012"/>
        </w:numPr>
        <w:pStyle w:val="Compact"/>
      </w:pPr>
      <w:r>
        <w:t xml:space="preserve">Эти строки строят график распространения информации о товаре с учетом платной рекламы и с учетом сарафанного радио для случая 2, то есть случая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0.000067</m:t>
        </m:r>
        <m:r>
          <m:rPr>
            <m:sty m:val="p"/>
          </m:rPr>
          <m:t>+</m:t>
        </m:r>
        <m:r>
          <m:t>0.38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16):</w:t>
      </w:r>
    </w:p>
    <w:p>
      <w:pPr>
        <w:pStyle w:val="CaptionedFigure"/>
      </w:pPr>
      <w:bookmarkStart w:id="61" w:name="fig:014"/>
      <w:r>
        <w:drawing>
          <wp:inline>
            <wp:extent cx="5334000" cy="1941848"/>
            <wp:effectExtent b="0" l="0" r="0" t="0"/>
            <wp:docPr descr="Figure 16: График случая 2" title="" id="1" name="Picture"/>
            <a:graphic>
              <a:graphicData uri="http://schemas.openxmlformats.org/drawingml/2006/picture">
                <pic:pic>
                  <pic:nvPicPr>
                    <pic:cNvPr descr="images\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16: График случая 2</w:t>
      </w:r>
    </w:p>
    <w:p>
      <w:pPr>
        <w:numPr>
          <w:ilvl w:val="0"/>
          <w:numId w:val="1013"/>
        </w:numPr>
        <w:pStyle w:val="Compact"/>
      </w:pPr>
      <w:r>
        <w:t xml:space="preserve">Тут выводится момент времени с максимальной скоростью (рис. 17):</w:t>
      </w:r>
    </w:p>
    <w:p>
      <w:pPr>
        <w:pStyle w:val="CaptionedFigure"/>
      </w:pPr>
      <w:bookmarkStart w:id="63" w:name="fig:015"/>
      <w:r>
        <w:drawing>
          <wp:inline>
            <wp:extent cx="5334000" cy="363793"/>
            <wp:effectExtent b="0" l="0" r="0" t="0"/>
            <wp:docPr descr="Figure 17: Момент времени с максимальной скоростью" title="" id="1" name="Picture"/>
            <a:graphic>
              <a:graphicData uri="http://schemas.openxmlformats.org/drawingml/2006/picture">
                <pic:pic>
                  <pic:nvPicPr>
                    <pic:cNvPr descr="images\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17: Момент времени с максимальной скоростью</w:t>
      </w:r>
    </w:p>
    <w:p>
      <w:pPr>
        <w:numPr>
          <w:ilvl w:val="0"/>
          <w:numId w:val="1014"/>
        </w:numPr>
        <w:pStyle w:val="Compact"/>
      </w:pPr>
      <w:r>
        <w:t xml:space="preserve">Эти строки строят график распространения информации о товаре с учетом платной рекламы и с учетом сарафанного радио для случая 3, то есть случая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18):</w:t>
      </w:r>
    </w:p>
    <w:p>
      <w:pPr>
        <w:pStyle w:val="CaptionedFigure"/>
      </w:pPr>
      <w:bookmarkStart w:id="65" w:name="fig:016"/>
      <w:r>
        <w:drawing>
          <wp:inline>
            <wp:extent cx="5334000" cy="1953019"/>
            <wp:effectExtent b="0" l="0" r="0" t="0"/>
            <wp:docPr descr="Figure 18: График случая 3" title="" id="1" name="Picture"/>
            <a:graphic>
              <a:graphicData uri="http://schemas.openxmlformats.org/drawingml/2006/picture">
                <pic:pic>
                  <pic:nvPicPr>
                    <pic:cNvPr descr="images\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18: График случая 3</w:t>
      </w:r>
    </w:p>
    <w:p>
      <w:pPr>
        <w:numPr>
          <w:ilvl w:val="0"/>
          <w:numId w:val="1015"/>
        </w:numPr>
        <w:pStyle w:val="Compact"/>
      </w:pPr>
      <w:r>
        <w:t xml:space="preserve">Эти строки строят график распространения информации о товаре с учетом платной рекламы и с учетом сарафанного радио для всех 3-х случаев (рис. 19):</w:t>
      </w:r>
    </w:p>
    <w:p>
      <w:pPr>
        <w:pStyle w:val="CaptionedFigure"/>
      </w:pPr>
      <w:bookmarkStart w:id="67" w:name="fig:017"/>
      <w:r>
        <w:drawing>
          <wp:inline>
            <wp:extent cx="5334000" cy="2024260"/>
            <wp:effectExtent b="0" l="0" r="0" t="0"/>
            <wp:docPr descr="Figure 19: График всех 3-х случаев" title="" id="1" name="Picture"/>
            <a:graphic>
              <a:graphicData uri="http://schemas.openxmlformats.org/drawingml/2006/picture">
                <pic:pic>
                  <pic:nvPicPr>
                    <pic:cNvPr descr="images\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 19: График всех 3-х случаев</w:t>
      </w:r>
    </w:p>
    <w:p>
      <w:pPr>
        <w:numPr>
          <w:ilvl w:val="0"/>
          <w:numId w:val="1016"/>
        </w:numPr>
        <w:pStyle w:val="Compact"/>
      </w:pPr>
      <w:r>
        <w:t xml:space="preserve">А эти строки - график, когда нет ни платной рекламы, ни сарафанного радио (рис. 20):</w:t>
      </w:r>
    </w:p>
    <w:p>
      <w:pPr>
        <w:pStyle w:val="CaptionedFigure"/>
      </w:pPr>
      <w:bookmarkStart w:id="69" w:name="fig:018"/>
      <w:r>
        <w:drawing>
          <wp:inline>
            <wp:extent cx="5334000" cy="1911721"/>
            <wp:effectExtent b="0" l="0" r="0" t="0"/>
            <wp:docPr descr="Figure 20: График без платной рекламы и сарафанного радио" title="" id="1" name="Picture"/>
            <a:graphic>
              <a:graphicData uri="http://schemas.openxmlformats.org/drawingml/2006/picture">
                <pic:pic>
                  <pic:nvPicPr>
                    <pic:cNvPr descr="images\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20: График без платной рекламы и сарафанного радио</w:t>
      </w:r>
    </w:p>
    <w:bookmarkEnd w:id="70"/>
    <w:bookmarkEnd w:id="71"/>
    <w:bookmarkStart w:id="74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17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r</m:t>
        </m:r>
        <m:r>
          <m:t>N</m:t>
        </m:r>
      </m:oMath>
      <w:r>
        <w:t xml:space="preserve">, тут N - исходная численность населения, r - коэффициент пропорциональности (r=b-d, b - коэффициент рождаемости, d - коэффициент смертности), t - время.</w:t>
      </w:r>
    </w:p>
    <w:p>
      <w:pPr>
        <w:pStyle w:val="FirstParagraph"/>
      </w:pPr>
      <w:r>
        <w:t xml:space="preserve">Широко используется в популяционной экологии как первый принцип популяционной динамики, позволяет проследить динамику популяции на довольно большом промежутке времени T, последовательно вычисляя численность популяции через каждый интервал времени dt. Изменения численности популяций растительного и животного мира нельзя описать простым законом Мальтуса, на динамику роста влияют многие взаимосвязанные причины - в частности, размножение каждого вида саморегулируется и видоизменяется так, чтобы этот вид сохранялся в процессе эволюции.</w:t>
      </w:r>
    </w:p>
    <w:p>
      <w:pPr>
        <w:numPr>
          <w:ilvl w:val="0"/>
          <w:numId w:val="1018"/>
        </w:numPr>
        <w:pStyle w:val="Compac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19"/>
        </w:numPr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19"/>
        </w:numPr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pStyle w:val="FirstParagraph"/>
      </w:pPr>
      <w:r>
        <w:t xml:space="preserve">Обозначая через P численность популяции (в экологии часто используется обозначение N), а время — t, модель можно свести к дифференциальному уравнению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P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r</m:t>
        </m:r>
        <m:r>
          <m:t>P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P</m:t>
            </m:r>
          </m:num>
          <m:den>
            <m:r>
              <m:t>K</m:t>
            </m:r>
          </m:den>
        </m:f>
        <m:r>
          <m:rPr>
            <m:sty m:val="p"/>
          </m:rPr>
          <m:t>)</m:t>
        </m:r>
      </m:oMath>
      <w:r>
        <w:t xml:space="preserve">, тут r — скорость размножения, K — поддерживающая ёмкость среды.</w:t>
      </w:r>
    </w:p>
    <w:p>
      <w:pPr>
        <w:pStyle w:val="BodyText"/>
      </w:pPr>
      <w:r>
        <w:t xml:space="preserve">Исходя из названия коэффициентов, в экологии часто различают две стратегии поведения видов:</w:t>
      </w:r>
    </w:p>
    <w:p>
      <w:pPr>
        <w:pStyle w:val="BodyText"/>
      </w:pPr>
      <w:r>
        <w:t xml:space="preserve">r-стратегия предполагает бурное размножение и короткую продолжительность жизни особей;</w:t>
      </w:r>
    </w:p>
    <w:p>
      <w:pPr>
        <w:pStyle w:val="BodyText"/>
      </w:pPr>
      <w:r>
        <w:t xml:space="preserve">K-стратегия — низкий темп размножения и долгую жизнь.</w:t>
      </w:r>
    </w:p>
    <w:p>
      <w:pPr>
        <w:numPr>
          <w:ilvl w:val="0"/>
          <w:numId w:val="1020"/>
        </w:numPr>
      </w:pPr>
      <w:r>
        <w:t xml:space="preserve">а1 - интенсивность рекламной кампании, зависящая от затрат, а2 - интенсивность рекламной кампании, зависящая от сарафанного радио.</w:t>
      </w:r>
    </w:p>
    <w:p>
      <w:pPr>
        <w:numPr>
          <w:ilvl w:val="0"/>
          <w:numId w:val="1020"/>
        </w:numPr>
      </w:pPr>
      <w:r>
        <w:t xml:space="preserve">Получается модель типа модели Мальтуса, решение которой имеет вид (рис. 21):</w:t>
      </w:r>
    </w:p>
    <w:p>
      <w:pPr>
        <w:pStyle w:val="CaptionedFigure"/>
      </w:pPr>
      <w:bookmarkStart w:id="72" w:name="fig:019"/>
      <w:r>
        <w:drawing>
          <wp:inline>
            <wp:extent cx="5334000" cy="4083145"/>
            <wp:effectExtent b="0" l="0" r="0" t="0"/>
            <wp:docPr descr="Figure 2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\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21: График решения уравнения модели Мальтуса</w:t>
      </w:r>
    </w:p>
    <w:p>
      <w:pPr>
        <w:numPr>
          <w:ilvl w:val="0"/>
          <w:numId w:val="1021"/>
        </w:numPr>
        <w:pStyle w:val="Compact"/>
      </w:pPr>
      <w:r>
        <w:t xml:space="preserve">В обратном случае, получаем уравнение логистической кривой (рис. 22):</w:t>
      </w:r>
    </w:p>
    <w:p>
      <w:pPr>
        <w:pStyle w:val="CaptionedFigure"/>
      </w:pPr>
      <w:bookmarkStart w:id="73" w:name="fig:020"/>
      <w:r>
        <w:drawing>
          <wp:inline>
            <wp:extent cx="5334000" cy="2140618"/>
            <wp:effectExtent b="0" l="0" r="0" t="0"/>
            <wp:docPr descr="Figure 2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\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22: График логистической кривой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седьмой лабораторной работы, я рассмотрела модель эффективности рекламы.</w:t>
      </w:r>
    </w:p>
    <w:p>
      <w:pPr>
        <w:pStyle w:val="BodyText"/>
      </w:pPr>
      <w:r>
        <w:t xml:space="preserve">В процессе выполнения лабораторной работы я научилась:</w:t>
      </w:r>
    </w:p>
    <w:p>
      <w:pPr>
        <w:numPr>
          <w:ilvl w:val="0"/>
          <w:numId w:val="1022"/>
        </w:numPr>
      </w:pPr>
      <w:r>
        <w:t xml:space="preserve">строить графики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0.99</m:t>
        </m:r>
        <m:r>
          <m:rPr>
            <m:sty m:val="p"/>
          </m:rPr>
          <m:t>+</m:t>
        </m:r>
        <m:r>
          <m:t>0.00012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строить графики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0.000067</m:t>
        </m:r>
        <m:r>
          <m:rPr>
            <m:sty m:val="p"/>
          </m:rPr>
          <m:t>+</m:t>
        </m:r>
        <m:r>
          <m:t>0.38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строить графики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0.1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определять в какой момент времени скорость распространения рекламы будет иметь максимальное значение.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615f1ed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Ефремова Ангелина Романовна</dc:creator>
  <dc:language>ru-RU</dc:language>
  <cp:keywords/>
  <dcterms:created xsi:type="dcterms:W3CDTF">2021-03-26T19:43:23Z</dcterms:created>
  <dcterms:modified xsi:type="dcterms:W3CDTF">2021-03-26T19:43:23Z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