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44.png" ContentType="image/png"/>
  <Override PartName="/word/media/rId46.png" ContentType="image/png"/>
  <Override PartName="/word/media/rId49.png" ContentType="image/png"/>
  <Override PartName="/word/media/rId51.png" ContentType="image/png"/>
  <Override PartName="/word/media/rId27.png" ContentType="image/png"/>
  <Override PartName="/word/media/rId29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Ефремова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восьмой лабораторной работы - рассмотреть модель конкуренции двух фирм.</w:t>
      </w:r>
    </w:p>
    <w:bookmarkEnd w:id="20"/>
    <w:bookmarkStart w:id="23" w:name="задание"/>
    <w:p>
      <w:pPr>
        <w:pStyle w:val="Heading1"/>
      </w:pPr>
      <w:r>
        <w:t xml:space="preserve">Задание</w:t>
      </w:r>
    </w:p>
    <w:bookmarkStart w:id="21" w:name="X14ca350c7bda23fb15c3599e7f2c16a4a0ae887"/>
    <w:p>
      <w:pPr>
        <w:pStyle w:val="Heading2"/>
      </w:pPr>
      <w:r>
        <w:t xml:space="preserve">Построить графики изменения оборотных средств фирмы 1 и фирмы 2 без учета постоянных издержек и с веденной нормировкой для случая 1.</w:t>
      </w:r>
    </w:p>
    <w:bookmarkEnd w:id="21"/>
    <w:bookmarkStart w:id="22" w:name="Xea653bae1dc74321328640d51d0d86a831d065a"/>
    <w:p>
      <w:pPr>
        <w:pStyle w:val="Heading2"/>
      </w:pPr>
      <w:r>
        <w:t xml:space="preserve">Построить графики изменения оборотных средств фирмы 1 и фирмы 2 без учета постоянных издержек и с веденной нормировкой для случая 2.</w:t>
      </w:r>
    </w:p>
    <w:bookmarkEnd w:id="22"/>
    <w:bookmarkEnd w:id="23"/>
    <w:bookmarkStart w:id="5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4" w:name="теоретическая-справка"/>
    <w:p>
      <w:pPr>
        <w:pStyle w:val="Heading2"/>
      </w:pPr>
      <w:r>
        <w:t xml:space="preserve">Теоретическая справка</w:t>
      </w:r>
    </w:p>
    <w:p>
      <w:pPr>
        <w:pStyle w:val="FirstParagraph"/>
      </w:pPr>
      <w:r>
        <w:t xml:space="preserve">Модель одной фирмы:</w:t>
      </w:r>
    </w:p>
    <w:p>
      <w:pPr>
        <w:numPr>
          <w:ilvl w:val="0"/>
          <w:numId w:val="1001"/>
        </w:numPr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numPr>
          <w:ilvl w:val="0"/>
          <w:numId w:val="1001"/>
        </w:numPr>
      </w:pPr>
      <w:r>
        <w:t xml:space="preserve">Обозначим:</w:t>
      </w:r>
    </w:p>
    <w:p>
      <w:pPr>
        <w:pStyle w:val="FirstParagraph"/>
      </w:pPr>
      <w:r>
        <w:t xml:space="preserve">N – число потребителей производимого продукта.</w:t>
      </w:r>
    </w:p>
    <w:p>
      <w:pPr>
        <w:pStyle w:val="BodyText"/>
      </w:pPr>
      <w:r>
        <w:t xml:space="preserve">S 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w:r>
        <w:t xml:space="preserve">M – оборотные средства предприятия</w:t>
      </w:r>
    </w:p>
    <w:p>
      <w:pPr>
        <w:pStyle w:val="BodyText"/>
      </w:pPr>
      <w:r>
        <w:t xml:space="preserve">τ – длительность производственного цикла</w:t>
      </w:r>
    </w:p>
    <w:p>
      <w:pPr>
        <w:pStyle w:val="BodyText"/>
      </w:pPr>
      <w:r>
        <w:t xml:space="preserve">p – рыночная цена товара</w:t>
      </w:r>
    </w:p>
    <w:p>
      <w:pPr>
        <w:pStyle w:val="BodyText"/>
      </w:pPr>
      <w:r>
        <w:t xml:space="preserve">p̃ – себестоимость продукта, то есть переменные издержки на производство единицы продукции.</w:t>
      </w:r>
    </w:p>
    <w:p>
      <w:pPr>
        <w:pStyle w:val="BodyText"/>
      </w:pPr>
      <w:r>
        <w:t xml:space="preserve">δ – доля оборотных средств, идущая на покрытие переменных издержек.</w:t>
      </w:r>
    </w:p>
    <w:p>
      <w:pPr>
        <w:pStyle w:val="BodyText"/>
      </w:pPr>
      <w:r>
        <w:t xml:space="preserve">κ – постоянные издержки, которые не зависят от количества выпускаемой продукции.</w:t>
      </w:r>
    </w:p>
    <w:p>
      <w:pPr>
        <w:numPr>
          <w:ilvl w:val="0"/>
          <w:numId w:val="1002"/>
        </w:numPr>
        <w:pStyle w:val="Compact"/>
      </w:pPr>
      <w:r>
        <w:t xml:space="preserve">Q(S/p) – функция спроса, зависящая от отношения дохода S к цене p. Она равна количеству продукта, потребляемого одним потребителем в единицу времени.</w:t>
      </w:r>
    </w:p>
    <w:p>
      <w:pPr>
        <w:pStyle w:val="FirstParagraph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>
        <m:r>
          <m:t>Q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−</m:t>
        </m:r>
        <m:r>
          <m:t>k</m:t>
        </m:r>
        <m:f>
          <m:fPr>
            <m:type m:val="bar"/>
          </m:fPr>
          <m:num>
            <m:r>
              <m:t>P</m:t>
            </m:r>
          </m:num>
          <m:den>
            <m:r>
              <m:t>S</m:t>
            </m:r>
          </m:den>
        </m:f>
        <m:r>
          <m:rPr>
            <m:sty m:val="p"/>
          </m:rPr>
          <m:t>=</m:t>
        </m:r>
        <m:r>
          <m:t>q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p</m:t>
            </m:r>
          </m:num>
          <m:den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den>
        </m:f>
        <m:r>
          <m:rPr>
            <m:sty m:val="p"/>
          </m:rPr>
          <m:t>)</m:t>
        </m:r>
        <m:r>
          <m:rPr>
            <m:sty m:val="p"/>
          </m:rPr>
          <m:t>,</m:t>
        </m:r>
      </m:oMath>
    </w:p>
    <w:p>
      <w:pPr>
        <w:pStyle w:val="BodyText"/>
      </w:pPr>
      <w:r>
        <w:t xml:space="preserve">где q – максимальная потребность одного человека в продукте в единицу времени. 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 k – мера эластичности функции спроса по цене. Таким образом, функция спроса в форме является пороговой (то есть, Q(S/p) = 0 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numPr>
          <w:ilvl w:val="0"/>
          <w:numId w:val="1003"/>
        </w:numPr>
        <w:pStyle w:val="Compact"/>
      </w:pPr>
      <w:r>
        <w:t xml:space="preserve">Уравнения динамики оборотных средств можно записать в виде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M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κ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κ</m:t>
          </m:r>
        </m:oMath>
      </m:oMathPara>
    </w:p>
    <w:p>
      <w:pPr>
        <w:pStyle w:val="FirstParagraph"/>
      </w:pPr>
      <w:r>
        <w:t xml:space="preserve">Уравнение для рыночной цены p представим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p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</w:p>
    <w:p>
      <w:pPr>
        <w:pStyle w:val="BodyText"/>
      </w:pPr>
      <w:r>
        <w:t xml:space="preserve">Параметр γ зависит от скорости оборота товаров на рынке. Как правило, время торгового оборота существенно меньше времени производственного цикла τ. При заданном M уравнение описывает быстрое стремление цены к равновесному значению цены, которое устойчиво.</w:t>
      </w:r>
    </w:p>
    <w:p>
      <w:pPr>
        <w:numPr>
          <w:ilvl w:val="0"/>
          <w:numId w:val="1004"/>
        </w:numPr>
        <w:pStyle w:val="Compact"/>
      </w:pPr>
      <w:r>
        <w:t xml:space="preserve">В этом случае уравнение можно заменить алгебраическим соотношением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Из этого следует, что равновесное значение цены p 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Уравнение с учетом предыдущего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M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M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r>
                <m:t>δ</m:t>
              </m:r>
              <m:r>
                <m:t>p</m:t>
              </m:r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κ</m:t>
          </m:r>
        </m:oMath>
      </m:oMathPara>
    </w:p>
    <w:p>
      <w:pPr>
        <w:pStyle w:val="FirstParagraph"/>
      </w:pPr>
      <w:r>
        <w:t xml:space="preserve">Уравнение имеет два стационарных решения, соответствующих условию</w:t>
      </w:r>
      <w:r>
        <w:t xml:space="preserve"> </w:t>
      </w:r>
      <m:oMath>
        <m:r>
          <m:rPr>
            <m:sty m:val="p"/>
          </m:rPr>
          <m:t>∂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∂</m:t>
        </m:r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M</m:t>
                  </m:r>
                </m:e>
              </m:acc>
            </m:e>
            <m:sub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,</w:t>
      </w:r>
    </w:p>
    <w:p>
      <w:pPr>
        <w:pStyle w:val="BodyText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κ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numPr>
          <w:ilvl w:val="0"/>
          <w:numId w:val="1005"/>
        </w:numPr>
        <w:pStyle w:val="Compact"/>
      </w:pPr>
      <w:r>
        <w:t xml:space="preserve">Из этого следует,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) и играют роль, только в случае, когда оборотные средства малы. При b &lt;&lt; a стационарные значения M равны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M</m:t>
                  </m:r>
                </m:e>
              </m:acc>
            </m:e>
            <m:sub>
              <m:r>
                <m:rPr>
                  <m:sty m:val="p"/>
                </m:rPr>
                <m:t>+</m:t>
              </m:r>
            </m:sub>
          </m:sSub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sSub>
            <m:e>
              <m:acc>
                <m:accPr>
                  <m:chr m:val="̃"/>
                </m:accPr>
                <m:e>
                  <m:r>
                    <m:t>M</m:t>
                  </m:r>
                </m:e>
              </m:acc>
            </m:e>
            <m:sub>
              <m:r>
                <m:rPr>
                  <m:sty m:val="p"/>
                </m:rPr>
                <m:t>−</m:t>
              </m:r>
            </m:sub>
          </m:sSub>
          <m:r>
            <m:rPr>
              <m:sty m:val="p"/>
            </m:rPr>
            <m:t>=</m:t>
          </m:r>
          <m:r>
            <m:t>κ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numPr>
          <w:ilvl w:val="0"/>
          <w:numId w:val="1006"/>
        </w:numPr>
        <w:pStyle w:val="Compact"/>
      </w:pPr>
      <w:r>
        <w:t xml:space="preserve">Первое состояние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+</m:t>
            </m:r>
          </m:sub>
        </m:sSub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неустойчиво, так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оборотные средства падают (</w:t>
      </w:r>
      <m:oMath>
        <m:r>
          <m:rPr>
            <m:sty m:val="p"/>
          </m:rPr>
          <m:t>∂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∂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FirstParagraph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= 1,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p>
      <w:pPr>
        <w:pStyle w:val="BodyText"/>
      </w:pPr>
      <w:r>
        <w:t xml:space="preserve">Конкуренция двух фирм:</w:t>
      </w:r>
    </w:p>
    <w:p>
      <w:pPr>
        <w:numPr>
          <w:ilvl w:val="0"/>
          <w:numId w:val="1007"/>
        </w:numPr>
        <w:pStyle w:val="Compac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 в этой нише нет априорных предпочтений, и они приобретут тот или иной товар, не обращая внимания на знак фирмы.</w:t>
      </w:r>
    </w:p>
    <w:p>
      <w:pPr>
        <w:pStyle w:val="FirstParagraph"/>
      </w:pPr>
      <w:r>
        <w:t xml:space="preserve">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</w:t>
      </w:r>
    </w:p>
    <w:p>
      <w:pPr>
        <w:numPr>
          <w:ilvl w:val="0"/>
          <w:numId w:val="1008"/>
        </w:numPr>
        <w:pStyle w:val="Compact"/>
      </w:pPr>
      <w:r>
        <w:t xml:space="preserve">Уравнения динамики оборотных средств запишем в виде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p</m:t>
                        </m:r>
                      </m:num>
                      <m:den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c</m:t>
                            </m:r>
                            <m:r>
                              <m:t>r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)</m:t>
                    </m:r>
                    <m:r>
                      <m:t>p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p</m:t>
                        </m:r>
                      </m:num>
                      <m:den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c</m:t>
                            </m:r>
                            <m:r>
                              <m:t>r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)</m:t>
                    </m:r>
                    <m:r>
                      <m:t>p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 использованы те же обозначения, а индексы 1 и 2 относятся к первой и второй фирме, соответственно. Величины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– числа потребителей, приобретших товар первой и второй фирмы.</w:t>
      </w:r>
    </w:p>
    <w:p>
      <w:pPr>
        <w:numPr>
          <w:ilvl w:val="0"/>
          <w:numId w:val="1009"/>
        </w:numPr>
        <w:pStyle w:val="Compact"/>
      </w:pPr>
      <w:r>
        <w:t xml:space="preserve">Учтем, что товарный баланс устанавливается быстро, то есть, произведенный каждой фирмой товар не накапливается, а реализуется по цене p. Тогда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acc>
                              <m:accPr>
                                <m:chr m:val="̃"/>
                              </m:accPr>
                              <m:e>
                                <m: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p</m:t>
                        </m:r>
                      </m:num>
                      <m:den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c</m:t>
                            </m:r>
                            <m:r>
                              <m:t>r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sSub>
                          <m:e>
                            <m:acc>
                              <m:accPr>
                                <m:chr m:val="̃"/>
                              </m:accPr>
                              <m:e>
                                <m: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p</m:t>
                        </m:r>
                      </m:num>
                      <m:den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c</m:t>
                            </m:r>
                            <m:r>
                              <m:t>r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</m:oMath>
      <w:r>
        <w:t xml:space="preserve"> </w:t>
      </w:r>
      <w:r>
        <w:t xml:space="preserve">– себестоимости товаров в первой и второй фирме.</w:t>
      </w:r>
    </w:p>
    <w:p>
      <w:pPr>
        <w:numPr>
          <w:ilvl w:val="0"/>
          <w:numId w:val="1010"/>
        </w:numPr>
        <w:pStyle w:val="Compact"/>
      </w:pPr>
      <w:r>
        <w:t xml:space="preserve">Представим уравнение выше в виде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(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p</m:t>
                        </m:r>
                      </m:num>
                      <m:den>
                        <m:sSub>
                          <m:e>
                            <m:acc>
                              <m:accPr>
                                <m:chr m:val="̃"/>
                              </m:accPr>
                              <m:e>
                                <m: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(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p</m:t>
                        </m:r>
                      </m:num>
                      <m:den>
                        <m:sSub>
                          <m:e>
                            <m:acc>
                              <m:accPr>
                                <m:chr m:val="̃"/>
                              </m:accPr>
                              <m:e>
                                <m: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для цены,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p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γ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11"/>
        </w:numPr>
        <w:pStyle w:val="Compact"/>
      </w:pPr>
      <w:r>
        <w:t xml:space="preserve">Считая, как и выше, что ценовое равновесие устанавливается быстро, получим:</w:t>
      </w:r>
    </w:p>
    <w:p>
      <w:pPr>
        <w:pStyle w:val="FirstParagraph"/>
      </w:pP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  <m:r>
              <m:t>q</m:t>
            </m:r>
          </m:den>
        </m:f>
        <m:r>
          <m:rPr>
            <m:sty m:val="p"/>
          </m:rPr>
          <m:t>(</m:t>
        </m:r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+</m:t>
        </m:r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</m:sSub>
          </m:den>
        </m:f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Подставив это уравнение в предыдущее имеем: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numPr>
          <w:ilvl w:val="0"/>
          <w:numId w:val="1012"/>
        </w:numPr>
        <w:pStyle w:val="Compact"/>
      </w:pPr>
      <w:r>
        <w:t xml:space="preserve">Исследуем систему выше в случае, когда постоянные издержки (</w:t>
      </w:r>
      <m:oMath>
        <m:sSub>
          <m:e>
            <m:r>
              <m:t>κ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κ</m:t>
            </m:r>
          </m:e>
          <m:sub>
            <m:r>
              <m:t>2</m:t>
            </m:r>
          </m:sub>
        </m:sSub>
      </m:oMath>
      <w:r>
        <w:t xml:space="preserve">) пренебрежимо малы. И введем нормировку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 Получим следующую систему: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numPr>
          <w:ilvl w:val="0"/>
          <w:numId w:val="1013"/>
        </w:numPr>
      </w:pPr>
      <w:r>
        <w:t xml:space="preserve">Чтобы решить систему, необходимо знать начальные условия. Зададим</w:t>
      </w:r>
      <w:r>
        <w:t xml:space="preserve"> </w:t>
      </w:r>
      <w:r>
        <w:t xml:space="preserve">начальные значения</w:t>
      </w:r>
      <w:r>
        <w:t xml:space="preserve"> </w:t>
      </w: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1</m:t>
            </m:r>
          </m:sup>
        </m:sSubSup>
      </m:oMath>
      <w:r>
        <w:t xml:space="preserve">,</w:t>
      </w:r>
      <w:r>
        <w:t xml:space="preserve"> </w:t>
      </w: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и известные параметры: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τ</m:t>
            </m:r>
          </m:e>
          <m:sub>
            <m:r>
              <m:t>2</m:t>
            </m:r>
          </m:sub>
        </m:sSub>
      </m:oMath>
      <w:r>
        <w:t xml:space="preserve">,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</m:oMath>
      <w:r>
        <w:t xml:space="preserve">,</w:t>
      </w:r>
      <w:r>
        <w:t xml:space="preserve"> </w:t>
      </w:r>
      <m:oMath>
        <m:r>
          <m:t>N</m:t>
        </m:r>
      </m:oMath>
      <w:r>
        <w:t xml:space="preserve">,</w:t>
      </w:r>
      <w:r>
        <w:t xml:space="preserve"> </w:t>
      </w:r>
      <m:oMath>
        <m:r>
          <m:t>q</m:t>
        </m:r>
      </m:oMath>
    </w:p>
    <w:p>
      <w:pPr>
        <w:numPr>
          <w:ilvl w:val="0"/>
          <w:numId w:val="1013"/>
        </w:numPr>
      </w:pPr>
      <w:r>
        <w:t xml:space="preserve">Замечание:</w:t>
      </w:r>
    </w:p>
    <w:p>
      <w:pPr>
        <w:pStyle w:val="FirstParagraph"/>
      </w:pPr>
      <w:r>
        <w:t xml:space="preserve">Значения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,</m:t>
        </m:r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,</m:t>
        </m:r>
        <m:r>
          <m:t>N</m:t>
        </m:r>
      </m:oMath>
      <w:r>
        <w:t xml:space="preserve">, указаны в тысячах единиц, а значения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t xml:space="preserve"> </w:t>
      </w:r>
      <w:r>
        <w:t xml:space="preserve">указаны в млн. единиц.</w:t>
      </w:r>
    </w:p>
    <w:bookmarkEnd w:id="24"/>
    <w:bookmarkStart w:id="31" w:name="начальные-условия"/>
    <w:p>
      <w:pPr>
        <w:pStyle w:val="Heading2"/>
      </w:pPr>
      <w:r>
        <w:t xml:space="preserve">Начальные условия</w:t>
      </w:r>
    </w:p>
    <w:p>
      <w:pPr>
        <w:numPr>
          <w:ilvl w:val="0"/>
          <w:numId w:val="1014"/>
        </w:numPr>
        <w:pStyle w:val="Compact"/>
      </w:pPr>
      <w:r>
        <w:t xml:space="preserve">Зададим критическую стоимость продукта (p_cr), длительность производственного цикла фирмы 1 (tau1), себестоимость продукта у фирмы 1 (p1), длительность производственного цикла фирмы 2 (tau2), себестоимость продукта у фирмы 2 (p2), число потребителей производимого продукта (N), максимальную потребность одного человека в продукте в единицу времени (q) (рис. 1).</w:t>
      </w:r>
    </w:p>
    <w:p>
      <w:pPr>
        <w:pStyle w:val="CaptionedFigure"/>
      </w:pPr>
      <w:bookmarkStart w:id="26" w:name="fig:001"/>
      <w:r>
        <w:drawing>
          <wp:inline>
            <wp:extent cx="5334000" cy="742156"/>
            <wp:effectExtent b="0" l="0" r="0" t="0"/>
            <wp:docPr descr="Figure 1: Начальные параметры" title="" id="1" name="Picture"/>
            <a:graphic>
              <a:graphicData uri="http://schemas.openxmlformats.org/drawingml/2006/picture">
                <pic:pic>
                  <pic:nvPicPr>
                    <pic:cNvPr descr="images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2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Начальные параметры</w:t>
      </w:r>
    </w:p>
    <w:p>
      <w:pPr>
        <w:numPr>
          <w:ilvl w:val="0"/>
          <w:numId w:val="1015"/>
        </w:numPr>
        <w:pStyle w:val="Compact"/>
      </w:pPr>
      <w:r>
        <w:t xml:space="preserve">Зададим коэффициенты а1, а2, в, с1, с2 для уравнений динамики изменения объемов продаж фирм (рис. 2).</w:t>
      </w:r>
    </w:p>
    <w:p>
      <w:pPr>
        <w:pStyle w:val="CaptionedFigure"/>
      </w:pPr>
      <w:bookmarkStart w:id="28" w:name="fig:002"/>
      <w:r>
        <w:drawing>
          <wp:inline>
            <wp:extent cx="5334000" cy="791110"/>
            <wp:effectExtent b="0" l="0" r="0" t="0"/>
            <wp:docPr descr="Figure 2: Коэффициенты а1, а2, в, с1, с2" title="" id="1" name="Picture"/>
            <a:graphic>
              <a:graphicData uri="http://schemas.openxmlformats.org/drawingml/2006/picture">
                <pic:pic>
                  <pic:nvPicPr>
                    <pic:cNvPr descr="images\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1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Коэффициенты а1, а2, в, с1, с2</w:t>
      </w:r>
    </w:p>
    <w:p>
      <w:pPr>
        <w:numPr>
          <w:ilvl w:val="0"/>
          <w:numId w:val="1016"/>
        </w:numPr>
        <w:pStyle w:val="Compact"/>
      </w:pPr>
      <w:r>
        <w:t xml:space="preserve">Зададим стационарные точки м1 и м2 (рис. 3).</w:t>
      </w:r>
    </w:p>
    <w:p>
      <w:pPr>
        <w:pStyle w:val="CaptionedFigure"/>
      </w:pPr>
      <w:bookmarkStart w:id="30" w:name="fig:003"/>
      <w:r>
        <w:drawing>
          <wp:inline>
            <wp:extent cx="5334000" cy="327631"/>
            <wp:effectExtent b="0" l="0" r="0" t="0"/>
            <wp:docPr descr="Figure 3: Стационарные точки" title="" id="1" name="Picture"/>
            <a:graphic>
              <a:graphicData uri="http://schemas.openxmlformats.org/drawingml/2006/picture">
                <pic:pic>
                  <pic:nvPicPr>
                    <pic:cNvPr descr="images\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3: Стационарные точки</w:t>
      </w:r>
    </w:p>
    <w:bookmarkEnd w:id="31"/>
    <w:bookmarkStart w:id="48" w:name="X0b8907fe26a0be4fe6ff7c86ca171bc386b31c3"/>
    <w:p>
      <w:pPr>
        <w:pStyle w:val="Heading2"/>
      </w:pPr>
      <w:r>
        <w:t xml:space="preserve">Составление систем дифференциальных уравнений и их решения</w:t>
      </w:r>
    </w:p>
    <w:p>
      <w:pPr>
        <w:numPr>
          <w:ilvl w:val="0"/>
          <w:numId w:val="1017"/>
        </w:numPr>
        <w:pStyle w:val="Compact"/>
      </w:pPr>
      <w:r>
        <w:t xml:space="preserve">Напишем вектор-функцию sluchai1 для решения системы дифференциальных уравнений для случая 1 (рис. 4).</w:t>
      </w:r>
    </w:p>
    <w:p>
      <w:pPr>
        <w:pStyle w:val="CaptionedFigure"/>
      </w:pPr>
      <w:bookmarkStart w:id="33" w:name="fig:004"/>
      <w:r>
        <w:drawing>
          <wp:inline>
            <wp:extent cx="5334000" cy="450816"/>
            <wp:effectExtent b="0" l="0" r="0" t="0"/>
            <wp:docPr descr="Figure 4: Уравнение для случая 1" title="" id="1" name="Picture"/>
            <a:graphic>
              <a:graphicData uri="http://schemas.openxmlformats.org/drawingml/2006/picture">
                <pic:pic>
                  <pic:nvPicPr>
                    <pic:cNvPr descr="images\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4: Уравнение для случая 1</w:t>
      </w:r>
    </w:p>
    <w:p>
      <w:pPr>
        <w:numPr>
          <w:ilvl w:val="0"/>
          <w:numId w:val="1018"/>
        </w:numPr>
        <w:pStyle w:val="Compact"/>
      </w:pPr>
      <w:r>
        <w:t xml:space="preserve">Напишем вектор-функцию sluchai2 для решения системы дифференциальных уравнений для случая 2 (рис. 5).</w:t>
      </w:r>
    </w:p>
    <w:p>
      <w:pPr>
        <w:pStyle w:val="CaptionedFigure"/>
      </w:pPr>
      <w:bookmarkStart w:id="35" w:name="fig:005"/>
      <w:r>
        <w:drawing>
          <wp:inline>
            <wp:extent cx="5334000" cy="470764"/>
            <wp:effectExtent b="0" l="0" r="0" t="0"/>
            <wp:docPr descr="Figure 5: Уравнение для случая 2" title="" id="1" name="Picture"/>
            <a:graphic>
              <a:graphicData uri="http://schemas.openxmlformats.org/drawingml/2006/picture">
                <pic:pic>
                  <pic:nvPicPr>
                    <pic:cNvPr descr="images\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5: Уравнение для случая 2</w:t>
      </w:r>
    </w:p>
    <w:p>
      <w:pPr>
        <w:numPr>
          <w:ilvl w:val="0"/>
          <w:numId w:val="1019"/>
        </w:numPr>
        <w:pStyle w:val="Compact"/>
      </w:pPr>
      <w:r>
        <w:t xml:space="preserve">Зададим интервал, на котором будем решать задачу и шаг. Задам интервал - [0 , 20] и шаг - 0,01 (рис. 6).</w:t>
      </w:r>
    </w:p>
    <w:p>
      <w:pPr>
        <w:pStyle w:val="CaptionedFigure"/>
      </w:pPr>
      <w:bookmarkStart w:id="37" w:name="fig:006"/>
      <w:r>
        <w:drawing>
          <wp:inline>
            <wp:extent cx="5334000" cy="207300"/>
            <wp:effectExtent b="0" l="0" r="0" t="0"/>
            <wp:docPr descr="Figure 6: Интервал и шаг" title="" id="1" name="Picture"/>
            <a:graphic>
              <a:graphicData uri="http://schemas.openxmlformats.org/drawingml/2006/picture">
                <pic:pic>
                  <pic:nvPicPr>
                    <pic:cNvPr descr="images\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6: Интервал и шаг</w:t>
      </w:r>
    </w:p>
    <w:p>
      <w:pPr>
        <w:numPr>
          <w:ilvl w:val="0"/>
          <w:numId w:val="1020"/>
        </w:numPr>
        <w:pStyle w:val="Compact"/>
      </w:pPr>
      <w:r>
        <w:t xml:space="preserve">Зададим начальное значение объема оборотных средств x1 и х2 (рис. 7).</w:t>
      </w:r>
    </w:p>
    <w:p>
      <w:pPr>
        <w:pStyle w:val="CaptionedFigure"/>
      </w:pPr>
      <w:bookmarkStart w:id="39" w:name="fig:007"/>
      <w:r>
        <w:drawing>
          <wp:inline>
            <wp:extent cx="5334000" cy="218118"/>
            <wp:effectExtent b="0" l="0" r="0" t="0"/>
            <wp:docPr descr="Figure 7: Объем оборотных средств" title="" id="1" name="Picture"/>
            <a:graphic>
              <a:graphicData uri="http://schemas.openxmlformats.org/drawingml/2006/picture">
                <pic:pic>
                  <pic:nvPicPr>
                    <pic:cNvPr descr="images\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7: Объем оборотных средств</w:t>
      </w:r>
    </w:p>
    <w:p>
      <w:pPr>
        <w:numPr>
          <w:ilvl w:val="0"/>
          <w:numId w:val="1021"/>
        </w:numPr>
        <w:pStyle w:val="Compact"/>
      </w:pPr>
      <w:r>
        <w:t xml:space="preserve">Следующая строка считает решения дифференциальных уравнений для случая 1 (рис. 8):</w:t>
      </w:r>
    </w:p>
    <w:p>
      <w:pPr>
        <w:pStyle w:val="CaptionedFigure"/>
      </w:pPr>
      <w:bookmarkStart w:id="41" w:name="fig:008"/>
      <w:r>
        <w:drawing>
          <wp:inline>
            <wp:extent cx="5334000" cy="205457"/>
            <wp:effectExtent b="0" l="0" r="0" t="0"/>
            <wp:docPr descr="Figure 8: Решения дифференциальных уравнений для случая 1" title="" id="1" name="Picture"/>
            <a:graphic>
              <a:graphicData uri="http://schemas.openxmlformats.org/drawingml/2006/picture">
                <pic:pic>
                  <pic:nvPicPr>
                    <pic:cNvPr descr="images\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8: Решения дифференциальных уравнений для случая 1</w:t>
      </w:r>
    </w:p>
    <w:p>
      <w:pPr>
        <w:numPr>
          <w:ilvl w:val="0"/>
          <w:numId w:val="1022"/>
        </w:numPr>
        <w:pStyle w:val="Compact"/>
      </w:pPr>
      <w:r>
        <w:t xml:space="preserve">Следующая строка считает решения дифференциальных уравнений для случая 2 (рис. 9):</w:t>
      </w:r>
    </w:p>
    <w:p>
      <w:pPr>
        <w:pStyle w:val="CaptionedFigure"/>
      </w:pPr>
      <w:bookmarkStart w:id="43" w:name="fig:009"/>
      <w:r>
        <w:drawing>
          <wp:inline>
            <wp:extent cx="5334000" cy="206991"/>
            <wp:effectExtent b="0" l="0" r="0" t="0"/>
            <wp:docPr descr="Figure 9: Решения дифференциальных уравнений для случая 2" title="" id="1" name="Picture"/>
            <a:graphic>
              <a:graphicData uri="http://schemas.openxmlformats.org/drawingml/2006/picture">
                <pic:pic>
                  <pic:nvPicPr>
                    <pic:cNvPr descr="images\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9: Решения дифференциальных уравнений для случая 2</w:t>
      </w:r>
    </w:p>
    <w:p>
      <w:pPr>
        <w:numPr>
          <w:ilvl w:val="0"/>
          <w:numId w:val="1023"/>
        </w:numPr>
        <w:pStyle w:val="Compact"/>
      </w:pPr>
      <w:r>
        <w:t xml:space="preserve">Посмотрим массив решений u1 (рис. 10):</w:t>
      </w:r>
    </w:p>
    <w:p>
      <w:pPr>
        <w:pStyle w:val="CaptionedFigure"/>
      </w:pPr>
      <w:bookmarkStart w:id="45" w:name="fig:010"/>
      <w:r>
        <w:drawing>
          <wp:inline>
            <wp:extent cx="5334000" cy="868601"/>
            <wp:effectExtent b="0" l="0" r="0" t="0"/>
            <wp:docPr descr="Figure 10: Массив решений u1" title="" id="1" name="Picture"/>
            <a:graphic>
              <a:graphicData uri="http://schemas.openxmlformats.org/drawingml/2006/picture">
                <pic:pic>
                  <pic:nvPicPr>
                    <pic:cNvPr descr="images\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8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10: Массив решений u1</w:t>
      </w:r>
    </w:p>
    <w:p>
      <w:pPr>
        <w:numPr>
          <w:ilvl w:val="0"/>
          <w:numId w:val="1024"/>
        </w:numPr>
        <w:pStyle w:val="Compact"/>
      </w:pPr>
      <w:r>
        <w:t xml:space="preserve">Посмотрим массив решений u2 (рис. 11):</w:t>
      </w:r>
    </w:p>
    <w:p>
      <w:pPr>
        <w:pStyle w:val="CaptionedFigure"/>
      </w:pPr>
      <w:bookmarkStart w:id="47" w:name="fig:011"/>
      <w:r>
        <w:drawing>
          <wp:inline>
            <wp:extent cx="5334000" cy="895604"/>
            <wp:effectExtent b="0" l="0" r="0" t="0"/>
            <wp:docPr descr="Figure 11: Массив решений u2" title="" id="1" name="Picture"/>
            <a:graphic>
              <a:graphicData uri="http://schemas.openxmlformats.org/drawingml/2006/picture">
                <pic:pic>
                  <pic:nvPicPr>
                    <pic:cNvPr descr="images\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5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11: Массив решений u2</w:t>
      </w:r>
    </w:p>
    <w:bookmarkEnd w:id="48"/>
    <w:bookmarkStart w:id="53" w:name="построение-графиков-решений"/>
    <w:p>
      <w:pPr>
        <w:pStyle w:val="Heading2"/>
      </w:pPr>
      <w:r>
        <w:t xml:space="preserve">Построение графиков решений</w:t>
      </w:r>
    </w:p>
    <w:p>
      <w:pPr>
        <w:numPr>
          <w:ilvl w:val="0"/>
          <w:numId w:val="1025"/>
        </w:numPr>
        <w:pStyle w:val="Compact"/>
      </w:pPr>
      <w:r>
        <w:t xml:space="preserve">Эти строки строят график изменения оборотных средств фирмы 1 и фирмы 2 без учета постоянных издержек и с веденной нормировкой для случая 1 (рис. 12):</w:t>
      </w:r>
    </w:p>
    <w:p>
      <w:pPr>
        <w:pStyle w:val="CaptionedFigure"/>
      </w:pPr>
      <w:bookmarkStart w:id="50" w:name="fig:012"/>
      <w:r>
        <w:drawing>
          <wp:inline>
            <wp:extent cx="5334000" cy="2161257"/>
            <wp:effectExtent b="0" l="0" r="0" t="0"/>
            <wp:docPr descr="Figure 12: График случая 1" title="" id="1" name="Picture"/>
            <a:graphic>
              <a:graphicData uri="http://schemas.openxmlformats.org/drawingml/2006/picture">
                <pic:pic>
                  <pic:nvPicPr>
                    <pic:cNvPr descr="images\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1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12: График случая 1</w:t>
      </w:r>
    </w:p>
    <w:p>
      <w:pPr>
        <w:numPr>
          <w:ilvl w:val="0"/>
          <w:numId w:val="1026"/>
        </w:numPr>
        <w:pStyle w:val="Compact"/>
      </w:pPr>
      <w:r>
        <w:t xml:space="preserve">Эти строки строят график изменения оборотных средств фирмы 1 и фирмы 2 без учета постоянных издержек и с веденной нормировкой для случая 2 (рис. 13):</w:t>
      </w:r>
    </w:p>
    <w:p>
      <w:pPr>
        <w:pStyle w:val="CaptionedFigure"/>
      </w:pPr>
      <w:bookmarkStart w:id="52" w:name="fig:013"/>
      <w:r>
        <w:drawing>
          <wp:inline>
            <wp:extent cx="5334000" cy="1995795"/>
            <wp:effectExtent b="0" l="0" r="0" t="0"/>
            <wp:docPr descr="Figure 13: График случая 2" title="" id="1" name="Picture"/>
            <a:graphic>
              <a:graphicData uri="http://schemas.openxmlformats.org/drawingml/2006/picture">
                <pic:pic>
                  <pic:nvPicPr>
                    <pic:cNvPr descr="images\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5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13: График случая 2</w:t>
      </w:r>
    </w:p>
    <w:bookmarkEnd w:id="53"/>
    <w:bookmarkEnd w:id="54"/>
    <w:bookmarkStart w:id="5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восьмой лабораторной работы, я рассмотрела модель модель конкуренции двух фирм.</w:t>
      </w:r>
    </w:p>
    <w:p>
      <w:pPr>
        <w:pStyle w:val="BodyText"/>
      </w:pPr>
      <w:r>
        <w:t xml:space="preserve">В процессе выполнения лабораторной работы я научилась:</w:t>
      </w:r>
    </w:p>
    <w:p>
      <w:pPr>
        <w:numPr>
          <w:ilvl w:val="0"/>
          <w:numId w:val="1027"/>
        </w:numPr>
      </w:pPr>
      <w:r>
        <w:t xml:space="preserve">строить строить графики изменения оборотных средств фирмы 1 и фирмы 2 без учета постоянных издержек и с веденной нормировкой для случая 1.</w:t>
      </w:r>
    </w:p>
    <w:p>
      <w:pPr>
        <w:numPr>
          <w:ilvl w:val="0"/>
          <w:numId w:val="1027"/>
        </w:numPr>
      </w:pPr>
      <w:r>
        <w:t xml:space="preserve">строить графики изменения оборотных средств фирмы 1 и фирмы 2 без учета постоянных издержек и с веденной нормировкой для случая 2.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615f1ed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1">
    <w:nsid w:val="41f388d6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Ефремова Ангелина Романовна</dc:creator>
  <dc:language>ru-RU</dc:language>
  <cp:keywords/>
  <dcterms:created xsi:type="dcterms:W3CDTF">2021-04-02T14:24:39Z</dcterms:created>
  <dcterms:modified xsi:type="dcterms:W3CDTF">2021-04-02T14:24:39Z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eacher">
    <vt:lpwstr>Кулябов Дмитрий Сергеевич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