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2E75B6"/>
          <w:sz w:val="24"/>
          <w:szCs w:val="24"/>
        </w:rPr>
        <w:t xml:space="preserve">MASTER’S THESIS RESEARCH PROPOSAL</w:t>
      </w:r>
    </w:p>
    <w:p>
      <w:pPr>
        <w:spacing w:after="100"/>
      </w:pPr>
    </w:p>
    <w:p>
      <w:pPr>
        <w:pBdr>
          <w:top w:val="single" w:color="2E75B6" w:sz="6" w:space="12"/>
          <w:bottom w:val="single" w:color="2E75B6" w:sz="6" w:space="12"/>
        </w:pBdr>
        <w:spacing w:after="200"/>
        <w:jc w:val="center"/>
      </w:pPr>
      <w:r>
        <w:rPr>
          <w:rFonts w:ascii="Arial" w:cs="Arial" w:eastAsia="Arial" w:hAnsi="Arial"/>
          <w:b/>
          <w:bCs/>
          <w:color w:val="1F4E79"/>
          <w:sz w:val="36"/>
          <w:szCs w:val="36"/>
        </w:rPr>
        <w:t xml:space="preserve">A Multi-Dimensional Evaluation of Explainability Methods Across CNN and Vision Transformer Architectures for Skin Lesion Classification</w:t>
      </w:r>
    </w:p>
    <w:p>
      <w:pPr>
        <w:spacing w:after="100"/>
      </w:pPr>
    </w:p>
    <w:p>
      <w:pPr>
        <w:spacing w:after="100"/>
      </w:pPr>
    </w:p>
    <w:p>
      <w:pPr>
        <w:spacing w:after="80"/>
        <w:jc w:val="center"/>
      </w:pPr>
      <w:r>
        <w:rPr>
          <w:color w:val="444444"/>
          <w:sz w:val="24"/>
          <w:szCs w:val="24"/>
        </w:rPr>
        <w:t xml:space="preserve">Prepared by: Yehia</w:t>
      </w:r>
    </w:p>
    <w:p>
      <w:pPr>
        <w:spacing w:after="80"/>
        <w:jc w:val="center"/>
      </w:pPr>
      <w:r>
        <w:rPr>
          <w:color w:val="444444"/>
          <w:sz w:val="24"/>
          <w:szCs w:val="24"/>
        </w:rPr>
        <w:t xml:space="preserve">Program: M.Sc. in Artificial Intelligence / Computer Science</w:t>
      </w:r>
    </w:p>
    <w:p>
      <w:pPr>
        <w:spacing w:after="80"/>
        <w:jc w:val="center"/>
      </w:pPr>
      <w:r>
        <w:rPr>
          <w:color w:val="444444"/>
          <w:sz w:val="24"/>
          <w:szCs w:val="24"/>
        </w:rPr>
        <w:t xml:space="preserve">Date: April 2026</w:t>
      </w:r>
    </w:p>
    <w:p>
      <w:pPr>
        <w:spacing w:after="100"/>
      </w:pPr>
    </w:p>
    <w:p>
      <w:pPr>
        <w:spacing w:after="100"/>
      </w:pPr>
    </w:p>
    <w:p>
      <w:pPr>
        <w:spacing w:after="100"/>
      </w:pPr>
    </w:p>
    <w:p>
      <w:pPr>
        <w:spacing w:after="100"/>
      </w:pPr>
    </w:p>
    <w:p>
      <w:pPr>
        <w:spacing w:after="100"/>
      </w:pPr>
    </w:p>
    <w:p>
      <w:pPr>
        <w:spacing w:after="100"/>
      </w:pPr>
    </w:p>
    <w:p>
      <w:pPr>
        <w:spacing w:after="100"/>
      </w:pPr>
    </w:p>
    <w:p>
      <w:pPr>
        <w:spacing w:after="80"/>
        <w:jc w:val="center"/>
      </w:pPr>
      <w:r>
        <w:rPr>
          <w:i/>
          <w:iCs/>
          <w:color w:val="666666"/>
          <w:sz w:val="22"/>
          <w:szCs w:val="22"/>
        </w:rPr>
        <w:t xml:space="preserve">Field: Explainable Artificial Intelligence (XAI) in Medical Imaging</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line="276"/>
      </w:pPr>
      <w:r>
        <w:t xml:space="preserve">Explainable Artificial Intelligence (XAI) is essential for the clinical adoption of deep learning in medical imaging, yet existing evaluation frameworks remain fragmented. Most studies benchmark explanation methods on a single model architecture using only one evaluation dimension, typically spatial plausibility (heatmap-to-ground-truth overlap) or faithfulness (perturbation-based causal verification), but rarely both simultaneously. Furthermore, the rapid adoption of Vision Transformers (ViTs) in medical imaging has introduced a new family of explanation techniques (attention rollout, transformer-specific LRP) whose quality has not been systematically compared against CNN-native methods (Grad-CAM, HiResCAM) using standardised metrics.</w:t>
      </w:r>
    </w:p>
    <w:p>
      <w:pPr>
        <w:spacing w:after="200" w:line="276"/>
      </w:pPr>
      <w:r>
        <w:t xml:space="preserve">This thesis proposes a multi-dimensional evaluation framework that benchmarks six XAI methods across four deep learning architectures (two CNNs: EfficientNet-B0, DenseNet-121; two ViTs: ViT-Base/16, Swin Transformer Tiny) on the ISIC 2018 skin lesion classification task. The evaluation spans four complementary dimensions: faithfulness (AOPC, Insertion/Deletion AUC), plausibility (IoU, Dice, Pointing Game), robustness (Max-Sensitivity), and complexity (Explanation Entropy). The primary contribution is the first unified, cross-architecture, multi-metric comparison of XAI methods in dermatological imaging, addressing a critical gap identified in recent systematic reviews (BMC Medical Imaging, 2026; Frontiers in AI, 2026).</w:t>
      </w:r>
    </w:p>
    <w:p>
      <w:pPr>
        <w:pStyle w:val="Heading1"/>
      </w:pPr>
      <w:r>
        <w:t xml:space="preserve">2. Introduction and Problem Statement</w:t>
      </w:r>
    </w:p>
    <w:p>
      <w:pPr>
        <w:spacing w:after="200" w:line="276"/>
      </w:pPr>
      <w:r>
        <w:t xml:space="preserve">Deep learning has achieved dermatologist-level performance in skin lesion classification, yet clinical deployment remains limited. A key barrier is the opacity of these models: clinicians cannot verify whether a model’s decision is based on clinically meaningful features (e.g., lesion morphology, pigment patterns) or on spurious correlations (e.g., ruler markings, skin colour, image artefacts). Explainability methods aim to bridge this gap by producing visual or quantitative explanations of model behaviour.</w:t>
      </w:r>
    </w:p>
    <w:p>
      <w:pPr>
        <w:spacing w:after="200" w:line="276"/>
      </w:pPr>
      <w:r>
        <w:t xml:space="preserve">However, the XAI landscape itself suffers from three critical problems that this thesis directly addresses:</w:t>
      </w:r>
    </w:p>
    <w:p>
      <w:pPr>
        <w:pStyle w:val="ListParagraph"/>
        <w:numPr>
          <w:ilvl w:val="0"/>
          <w:numId w:val="2"/>
        </w:numPr>
        <w:spacing w:after="120" w:line="276"/>
      </w:pPr>
      <w:r>
        <w:rPr>
          <w:rFonts w:ascii="Arial" w:cs="Arial" w:eastAsia="Arial" w:hAnsi="Arial"/>
          <w:b/>
          <w:bCs/>
          <w:sz w:val="22"/>
          <w:szCs w:val="22"/>
        </w:rPr>
        <w:t xml:space="preserve">Architectural Fragmentation: </w:t>
      </w:r>
      <w:r>
        <w:rPr>
          <w:rFonts w:ascii="Arial" w:cs="Arial" w:eastAsia="Arial" w:hAnsi="Arial"/>
          <w:sz w:val="22"/>
          <w:szCs w:val="22"/>
        </w:rPr>
        <w:t xml:space="preserve">CNN-based XAI methods (Grad-CAM family) and Transformer-based methods (attention rollout, AttnLRP) are evaluated in isolation. No study has systematically compared their explanation quality using the same metrics, dataset, and experimental protocol on a single clinical task.</w:t>
      </w:r>
    </w:p>
    <w:p>
      <w:pPr>
        <w:pStyle w:val="ListParagraph"/>
        <w:numPr>
          <w:ilvl w:val="0"/>
          <w:numId w:val="2"/>
        </w:numPr>
        <w:spacing w:after="120" w:line="276"/>
      </w:pPr>
      <w:r>
        <w:rPr>
          <w:rFonts w:ascii="Arial" w:cs="Arial" w:eastAsia="Arial" w:hAnsi="Arial"/>
          <w:b/>
          <w:bCs/>
          <w:sz w:val="22"/>
          <w:szCs w:val="22"/>
        </w:rPr>
        <w:t xml:space="preserve">Single-Dimension Evaluation: </w:t>
      </w:r>
      <w:r>
        <w:rPr>
          <w:rFonts w:ascii="Arial" w:cs="Arial" w:eastAsia="Arial" w:hAnsi="Arial"/>
          <w:sz w:val="22"/>
          <w:szCs w:val="22"/>
        </w:rPr>
        <w:t xml:space="preserve">Most studies evaluate explanations along one axis only. A heatmap can have high spatial overlap with the lesion (plausible) but be unfaithful to the model’s actual reasoning. Conversely, a faithful explanation may highlight regions that are clinically irrelevant. Without multi-dimensional evaluation, we cannot identify these failure modes.</w:t>
      </w:r>
    </w:p>
    <w:p>
      <w:pPr>
        <w:pStyle w:val="ListParagraph"/>
        <w:numPr>
          <w:ilvl w:val="0"/>
          <w:numId w:val="2"/>
        </w:numPr>
        <w:spacing w:after="120" w:line="276"/>
      </w:pPr>
      <w:r>
        <w:rPr>
          <w:rFonts w:ascii="Arial" w:cs="Arial" w:eastAsia="Arial" w:hAnsi="Arial"/>
          <w:b/>
          <w:bCs/>
          <w:sz w:val="22"/>
          <w:szCs w:val="22"/>
        </w:rPr>
        <w:t xml:space="preserve">Missing Standardised Protocol: </w:t>
      </w:r>
      <w:r>
        <w:rPr>
          <w:rFonts w:ascii="Arial" w:cs="Arial" w:eastAsia="Arial" w:hAnsi="Arial"/>
          <w:sz w:val="22"/>
          <w:szCs w:val="22"/>
        </w:rPr>
        <w:t xml:space="preserve">Evaluation parameters (binarization thresholds, perturbation strategies, baseline values) vary across studies, making cross-paper comparisons unreliable. This thesis establishes a fixed protocol with all parameters documented and justified.</w:t>
      </w:r>
    </w:p>
    <w:p>
      <w:pPr>
        <w:pStyle w:val="Heading1"/>
      </w:pPr>
      <w:r>
        <w:t xml:space="preserve">3. Research Questions</w:t>
      </w:r>
    </w:p>
    <w:p>
      <w:pPr>
        <w:spacing w:after="200" w:line="276"/>
      </w:pPr>
      <w:r>
        <w:t xml:space="preserve">This thesis is structured around four research questions:</w:t>
      </w:r>
    </w:p>
    <w:p>
      <w:pPr>
        <w:pStyle w:val="ListParagraph"/>
        <w:numPr>
          <w:ilvl w:val="0"/>
          <w:numId w:val="2"/>
        </w:numPr>
        <w:spacing w:after="120" w:line="276"/>
      </w:pPr>
      <w:r>
        <w:rPr>
          <w:rFonts w:ascii="Arial" w:cs="Arial" w:eastAsia="Arial" w:hAnsi="Arial"/>
          <w:b/>
          <w:bCs/>
          <w:sz w:val="22"/>
          <w:szCs w:val="22"/>
        </w:rPr>
        <w:t xml:space="preserve">RQ1: </w:t>
      </w:r>
      <w:r>
        <w:rPr>
          <w:rFonts w:ascii="Arial" w:cs="Arial" w:eastAsia="Arial" w:hAnsi="Arial"/>
          <w:sz w:val="22"/>
          <w:szCs w:val="22"/>
        </w:rPr>
        <w:t xml:space="preserve">Do CNN-based or Vision Transformer-based architectures produce more faithful explanations for skin lesion classification, as measured by AOPC and Insertion/Deletion AUC?</w:t>
      </w:r>
    </w:p>
    <w:p>
      <w:pPr>
        <w:pStyle w:val="ListParagraph"/>
        <w:numPr>
          <w:ilvl w:val="0"/>
          <w:numId w:val="2"/>
        </w:numPr>
        <w:spacing w:after="120" w:line="276"/>
      </w:pPr>
      <w:r>
        <w:rPr>
          <w:rFonts w:ascii="Arial" w:cs="Arial" w:eastAsia="Arial" w:hAnsi="Arial"/>
          <w:b/>
          <w:bCs/>
          <w:sz w:val="22"/>
          <w:szCs w:val="22"/>
        </w:rPr>
        <w:t xml:space="preserve">RQ2: </w:t>
      </w:r>
      <w:r>
        <w:rPr>
          <w:rFonts w:ascii="Arial" w:cs="Arial" w:eastAsia="Arial" w:hAnsi="Arial"/>
          <w:sz w:val="22"/>
          <w:szCs w:val="22"/>
        </w:rPr>
        <w:t xml:space="preserve">Do architecture-specific XAI methods (Grad-CAM/HiResCAM for CNNs; Attention Rollout/AttnLRP for ViTs) outperform model-agnostic methods (LIME, SHAP) on the same architecture?</w:t>
      </w:r>
    </w:p>
    <w:p>
      <w:pPr>
        <w:pStyle w:val="ListParagraph"/>
        <w:numPr>
          <w:ilvl w:val="0"/>
          <w:numId w:val="2"/>
        </w:numPr>
        <w:spacing w:after="120" w:line="276"/>
      </w:pPr>
      <w:r>
        <w:rPr>
          <w:rFonts w:ascii="Arial" w:cs="Arial" w:eastAsia="Arial" w:hAnsi="Arial"/>
          <w:b/>
          <w:bCs/>
          <w:sz w:val="22"/>
          <w:szCs w:val="22"/>
        </w:rPr>
        <w:t xml:space="preserve">RQ3: </w:t>
      </w:r>
      <w:r>
        <w:rPr>
          <w:rFonts w:ascii="Arial" w:cs="Arial" w:eastAsia="Arial" w:hAnsi="Arial"/>
          <w:sz w:val="22"/>
          <w:szCs w:val="22"/>
        </w:rPr>
        <w:t xml:space="preserve">Is there a measurable trade-off between faithfulness and plausibility across model-XAI combinations, and which combinations achieve the best balance?</w:t>
      </w:r>
    </w:p>
    <w:p>
      <w:pPr>
        <w:pStyle w:val="ListParagraph"/>
        <w:numPr>
          <w:ilvl w:val="0"/>
          <w:numId w:val="2"/>
        </w:numPr>
        <w:spacing w:after="120" w:line="276"/>
      </w:pPr>
      <w:r>
        <w:rPr>
          <w:rFonts w:ascii="Arial" w:cs="Arial" w:eastAsia="Arial" w:hAnsi="Arial"/>
          <w:b/>
          <w:bCs/>
          <w:sz w:val="22"/>
          <w:szCs w:val="22"/>
        </w:rPr>
        <w:t xml:space="preserve">RQ4: </w:t>
      </w:r>
      <w:r>
        <w:rPr>
          <w:rFonts w:ascii="Arial" w:cs="Arial" w:eastAsia="Arial" w:hAnsi="Arial"/>
          <w:sz w:val="22"/>
          <w:szCs w:val="22"/>
        </w:rPr>
        <w:t xml:space="preserve">Which model-XAI combination offers the best overall profile when evaluated across all four dimensions (faithfulness, plausibility, robustness, complexity)?</w:t>
      </w:r>
    </w:p>
    <w:p>
      <w:pPr>
        <w:pStyle w:val="Heading1"/>
      </w:pPr>
      <w:r>
        <w:t xml:space="preserve">4. Literature Review and Research Gap</w:t>
      </w:r>
    </w:p>
    <w:p>
      <w:pPr>
        <w:pStyle w:val="Heading2"/>
      </w:pPr>
      <w:r>
        <w:t xml:space="preserve">4.1 XAI in Medical Imaging</w:t>
      </w:r>
    </w:p>
    <w:p>
      <w:pPr>
        <w:spacing w:after="200" w:line="276"/>
      </w:pPr>
      <w:r>
        <w:t xml:space="preserve">Gradient-based attribution methods, particularly Grad-CAM and its variants, remain the most commonly applied XAI techniques in medical imaging studies. These methods leverage class-specific gradients flowing into the final convolutional layer to produce coarse localisation heatmaps. Score-CAM and Eigen-CAM offer gradient-free alternatives, while HiResCAM provides a provably faithful variant by using element-wise products instead of global average pooling of gradients.</w:t>
      </w:r>
    </w:p>
    <w:p>
      <w:pPr>
        <w:spacing w:after="200" w:line="276"/>
      </w:pPr>
      <w:r>
        <w:t xml:space="preserve">For Vision Transformers, the self-attention mechanism offers a built-in interpretability signal. Attention Rollout aggregates attention weights across layers to trace input token relevance, while Transformer Attribution methods combine attention with gradient-based relevance propagation (LRP) for class-specific explanations. Recent work (2025–2026) has shown that attention-based explanations can correlate better with human gaze data than CNN saliency maps in some domains.</w:t>
      </w:r>
    </w:p>
    <w:p>
      <w:pPr>
        <w:pStyle w:val="Heading2"/>
      </w:pPr>
      <w:r>
        <w:t xml:space="preserve">4.2 Evaluation of XAI Methods</w:t>
      </w:r>
    </w:p>
    <w:p>
      <w:pPr>
        <w:spacing w:after="200" w:line="276"/>
      </w:pPr>
      <w:r>
        <w:t xml:space="preserve">Existing evaluation metrics fall into four broad categories. Faithfulness metrics (AOPC, Insertion/Deletion) test whether the highlighted regions causally influence model output. Plausibility metrics (IoU, Dice, Pointing Game) measure alignment with human-annotated ground truth. Robustness metrics (Max-Sensitivity) assess explanation stability under input perturbations. Complexity metrics (Explanation Entropy) quantify explanation conciseness. The critical finding from the 2024 study by Lamprou et al. is that Grad-CAM and HiResCAM can diverge in faithfulness even when they appear visually similar, underscoring the need for quantitative evaluation.</w:t>
      </w:r>
    </w:p>
    <w:p>
      <w:pPr>
        <w:pStyle w:val="Heading2"/>
      </w:pPr>
      <w:r>
        <w:t xml:space="preserve">4.3 Identified Gap</w:t>
      </w:r>
    </w:p>
    <w:p>
      <w:pPr>
        <w:spacing w:after="200" w:line="276"/>
      </w:pPr>
      <w:r>
        <w:t xml:space="preserve">A thorough literature search reveals that no existing study simultaneously: (a) compares XAI methods across both CNN and ViT architectural families, (b) uses all four evaluation dimensions, (c) employs model-agnostic methods as a cross-architecture bridge, and (d) evaluates on a medical imaging task with clinician-provided ground-truth segmentation masks. This thesis fills this gap.</w:t>
      </w:r>
    </w:p>
    <w:p>
      <w:pPr>
        <w:pStyle w:val="Heading1"/>
      </w:pPr>
      <w:r>
        <w:t xml:space="preserve">5. Methodology</w:t>
      </w:r>
    </w:p>
    <w:p>
      <w:pPr>
        <w:pStyle w:val="Heading2"/>
      </w:pPr>
      <w:r>
        <w:t xml:space="preserve">5.1 Dataset</w:t>
      </w:r>
    </w:p>
    <w:p>
      <w:pPr>
        <w:spacing w:after="200" w:line="276"/>
      </w:pPr>
      <w:r>
        <w:t xml:space="preserve">The ISIC 2018 Challenge dataset is used, comprising two complementary tasks:</w:t>
      </w:r>
    </w:p>
    <w:p>
      <w:pPr>
        <w:pStyle w:val="ListParagraph"/>
        <w:numPr>
          <w:ilvl w:val="0"/>
          <w:numId w:val="2"/>
        </w:numPr>
        <w:spacing w:after="120" w:line="276"/>
      </w:pPr>
      <w:r>
        <w:rPr>
          <w:rFonts w:ascii="Arial" w:cs="Arial" w:eastAsia="Arial" w:hAnsi="Arial"/>
          <w:b/>
          <w:bCs/>
          <w:sz w:val="22"/>
          <w:szCs w:val="22"/>
        </w:rPr>
        <w:t xml:space="preserve">Task 1 (Segmentation): </w:t>
      </w:r>
      <w:r>
        <w:rPr>
          <w:rFonts w:ascii="Arial" w:cs="Arial" w:eastAsia="Arial" w:hAnsi="Arial"/>
          <w:sz w:val="22"/>
          <w:szCs w:val="22"/>
        </w:rPr>
        <w:t xml:space="preserve">2,594 dermoscopic images with pixel-level binary segmentation masks delineating lesion boundaries. These masks serve as the ground truth for plausibility evaluation of XAI heatmaps.</w:t>
      </w:r>
    </w:p>
    <w:p>
      <w:pPr>
        <w:pStyle w:val="ListParagraph"/>
        <w:numPr>
          <w:ilvl w:val="0"/>
          <w:numId w:val="2"/>
        </w:numPr>
        <w:spacing w:after="120" w:line="276"/>
      </w:pPr>
      <w:r>
        <w:rPr>
          <w:rFonts w:ascii="Arial" w:cs="Arial" w:eastAsia="Arial" w:hAnsi="Arial"/>
          <w:b/>
          <w:bCs/>
          <w:sz w:val="22"/>
          <w:szCs w:val="22"/>
        </w:rPr>
        <w:t xml:space="preserve">Task 3 (Classification): </w:t>
      </w:r>
      <w:r>
        <w:rPr>
          <w:rFonts w:ascii="Arial" w:cs="Arial" w:eastAsia="Arial" w:hAnsi="Arial"/>
          <w:sz w:val="22"/>
          <w:szCs w:val="22"/>
        </w:rPr>
        <w:t xml:space="preserve">10,015 dermoscopic images labelled across 7 diagnostic categories: Melanoma (MEL), Melanocytic Nevus (NV), Basal Cell Carcinoma (BCC), Actinic Keratosis (AKIEC), Benign Keratosis (BKL), Dermatofibroma (DF), and Vascular Lesion (VASC).</w:t>
      </w:r>
    </w:p>
    <w:p>
      <w:pPr>
        <w:spacing w:after="200" w:line="276"/>
      </w:pPr>
      <w:r>
        <w:t xml:space="preserve">The intersection of both tasks (images with both classification labels and segmentation masks) will be used for the full multi-dimensional evaluation. Classification-only images will supplement training for robust model learning.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ISIC 2018 Challenge (Kaggle / ISIC Archive)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images (classification)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 with segmentation masks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2,594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(MEL, NV, BCC, AKIEC, BKL, DF, VASC)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resolution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resized to 224×224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strategy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Stratified 70/15/15 (train/val/test)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imbalance handling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sampling + class-weighted loss</w:t>
            </w:r>
          </w:p>
        </w:tc>
      </w:tr>
    </w:tbl>
    <w:p>
      <w:pPr>
        <w:pStyle w:val="Heading2"/>
      </w:pPr>
      <w:r>
        <w:t xml:space="preserve">5.2 Model Architectures</w:t>
      </w:r>
    </w:p>
    <w:p>
      <w:pPr>
        <w:spacing w:after="200" w:line="276"/>
      </w:pPr>
      <w:r>
        <w:t xml:space="preserve">Four models are selected to represent two architectural families, each with a lightweight and a more complex variant: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700"/>
        <w:gridCol w:w="44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EfficientNet-B0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Compound-scaled CNN; strong baseline in dermatology literature; efficient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DenseNet-121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connectivity with feature reuse; widely cited in medical imaging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ViT-Base/16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pure-attention transformer; establishes global-attention baseline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ViT with shifted windows; bridges local (CNN-like) and global attention</w:t>
            </w:r>
          </w:p>
        </w:tc>
      </w:tr>
    </w:tbl>
    <w:p>
      <w:pPr>
        <w:spacing w:after="100"/>
      </w:pPr>
    </w:p>
    <w:p>
      <w:pPr>
        <w:spacing w:after="200" w:line="276"/>
      </w:pPr>
      <w:r>
        <w:t xml:space="preserve">All models will be initialised with ImageNet pretrained weights (from the timm library) and fine-tuned on ISIC 2018 with identical training hyperparameters to ensure a fair comparison. Training configuration includes: AdamW optimiser, learning rate 1e-4 with cosine annealing, batch size 32, 50 epochs with early stopping (patience = 7), and standard augmentations (random horizontal/vertical flip, rotation ±15°, colour jitter, normalisation to ImageNet statistics).</w:t>
      </w:r>
    </w:p>
    <w:p>
      <w:pPr>
        <w:pStyle w:val="Heading2"/>
      </w:pPr>
      <w:r>
        <w:t xml:space="preserve">5.3 XAI Methods</w:t>
      </w:r>
    </w:p>
    <w:p>
      <w:pPr>
        <w:spacing w:after="200" w:line="276"/>
      </w:pPr>
      <w:r>
        <w:t xml:space="preserve">Six XAI methods are selected to span four methodological categories. This ensures coverage of gradient-based, model-agnostic, and transformer-native approaches: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700"/>
        <w:gridCol w:w="38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Applicable To</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Gradient-based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Grad-CAM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combination of feature maps using class-specific gradients at the last conv layer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Gradient-based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HiResCAM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Element-wise product of activations and gradients; provably faithful (Draelos &amp; Carin, 2021)</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Model-agnostic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models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surrogate model on superpixel perturbations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Model-agnostic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KernelSHAP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models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Shapley-value-based attribution via weighted kernel regression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Transformer-native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Attention Rollout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ViTs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multiplication of attention matrices across layers; class-agnostic</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Transformer-native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 Attribution (AttnLRP)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ViTs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attention with gradient-based LRP for class-specific relevance; Chefer et al., 2021</w:t>
            </w:r>
          </w:p>
        </w:tc>
      </w:tr>
    </w:tbl>
    <w:p>
      <w:pPr>
        <w:spacing w:after="100"/>
      </w:pPr>
    </w:p>
    <w:p>
      <w:pPr>
        <w:spacing w:after="200" w:line="276"/>
      </w:pPr>
      <w:r>
        <w:t xml:space="preserve">The model-agnostic methods (LIME, KernelSHAP) serve a critical role as the cross-architecture bridge: by applying the same explanation technique to both a CNN and a ViT, we can isolate whether differences in explanation quality stem from the architecture or the explanation method.</w:t>
      </w:r>
    </w:p>
    <w:p>
      <w:pPr>
        <w:pStyle w:val="Heading2"/>
      </w:pPr>
      <w:r>
        <w:t xml:space="preserve">5.4 Evaluation Framework</w:t>
      </w:r>
    </w:p>
    <w:p>
      <w:pPr>
        <w:spacing w:after="200" w:line="276"/>
      </w:pPr>
      <w:r>
        <w:t xml:space="preserve">Each model-XAI combination is evaluated across four complementary dimensions. This multi-dimensional approach is the core contribution of the thesis.</w:t>
      </w:r>
    </w:p>
    <w:p>
      <w:pPr>
        <w:pStyle w:val="Heading3"/>
      </w:pPr>
      <w:r>
        <w:t xml:space="preserve">5.4.1 Dimension 1: Faithfulness</w:t>
      </w:r>
    </w:p>
    <w:p>
      <w:pPr>
        <w:spacing w:after="200" w:line="276"/>
      </w:pPr>
      <w:r>
        <w:t xml:space="preserve">Faithfulness measures whether the explanation reflects the model’s actual decision-making process, not merely what looks plausible to a human.</w:t>
      </w:r>
    </w:p>
    <w:p>
      <w:pPr>
        <w:pStyle w:val="ListParagraph"/>
        <w:numPr>
          <w:ilvl w:val="0"/>
          <w:numId w:val="2"/>
        </w:numPr>
        <w:spacing w:after="120" w:line="276"/>
      </w:pPr>
      <w:r>
        <w:rPr>
          <w:rFonts w:ascii="Arial" w:cs="Arial" w:eastAsia="Arial" w:hAnsi="Arial"/>
          <w:b/>
          <w:bCs/>
          <w:sz w:val="22"/>
          <w:szCs w:val="22"/>
        </w:rPr>
        <w:t xml:space="preserve">AOPC (Area Over the Perturbation Curve): </w:t>
      </w:r>
      <w:r>
        <w:rPr>
          <w:rFonts w:ascii="Arial" w:cs="Arial" w:eastAsia="Arial" w:hAnsi="Arial"/>
          <w:sz w:val="22"/>
          <w:szCs w:val="22"/>
        </w:rPr>
        <w:t xml:space="preserve">Pixels are ranked by attribution score and progressively replaced with a baseline value (mean pixel intensity). The average drop in prediction confidence is computed at 10%, 20%, ..., 90% perturbation levels. Higher AOPC indicates greater faithfulness.</w:t>
      </w:r>
    </w:p>
    <w:p>
      <w:pPr>
        <w:pStyle w:val="ListParagraph"/>
        <w:numPr>
          <w:ilvl w:val="0"/>
          <w:numId w:val="2"/>
        </w:numPr>
        <w:spacing w:after="120" w:line="276"/>
      </w:pPr>
      <w:r>
        <w:rPr>
          <w:rFonts w:ascii="Arial" w:cs="Arial" w:eastAsia="Arial" w:hAnsi="Arial"/>
          <w:b/>
          <w:bCs/>
          <w:sz w:val="22"/>
          <w:szCs w:val="22"/>
        </w:rPr>
        <w:t xml:space="preserve">Insertion AUC: </w:t>
      </w:r>
      <w:r>
        <w:rPr>
          <w:rFonts w:ascii="Arial" w:cs="Arial" w:eastAsia="Arial" w:hAnsi="Arial"/>
          <w:sz w:val="22"/>
          <w:szCs w:val="22"/>
        </w:rPr>
        <w:t xml:space="preserve">Starting from a fully blurred image, pixels are revealed in order of attribution importance. The AUC of the prediction confidence curve is recorded. Higher is better.</w:t>
      </w:r>
    </w:p>
    <w:p>
      <w:pPr>
        <w:pStyle w:val="ListParagraph"/>
        <w:numPr>
          <w:ilvl w:val="0"/>
          <w:numId w:val="2"/>
        </w:numPr>
        <w:spacing w:after="120" w:line="276"/>
      </w:pPr>
      <w:r>
        <w:rPr>
          <w:rFonts w:ascii="Arial" w:cs="Arial" w:eastAsia="Arial" w:hAnsi="Arial"/>
          <w:b/>
          <w:bCs/>
          <w:sz w:val="22"/>
          <w:szCs w:val="22"/>
        </w:rPr>
        <w:t xml:space="preserve">Deletion AUC: </w:t>
      </w:r>
      <w:r>
        <w:rPr>
          <w:rFonts w:ascii="Arial" w:cs="Arial" w:eastAsia="Arial" w:hAnsi="Arial"/>
          <w:sz w:val="22"/>
          <w:szCs w:val="22"/>
        </w:rPr>
        <w:t xml:space="preserve">Starting from the original image, pixels are removed in order of attribution importance. Lower AUC indicates the method correctly identified the most influential regions.</w:t>
      </w:r>
    </w:p>
    <w:p>
      <w:pPr>
        <w:pStyle w:val="Heading3"/>
      </w:pPr>
      <w:r>
        <w:t xml:space="preserve">5.4.2 Dimension 2: Plausibility</w:t>
      </w:r>
    </w:p>
    <w:p>
      <w:pPr>
        <w:spacing w:after="200" w:line="276"/>
      </w:pPr>
      <w:r>
        <w:t xml:space="preserve">Plausibility measures alignment between the explanation and clinician-annotated ground truth (ISIC segmentation masks).</w:t>
      </w:r>
    </w:p>
    <w:p>
      <w:pPr>
        <w:pStyle w:val="ListParagraph"/>
        <w:numPr>
          <w:ilvl w:val="0"/>
          <w:numId w:val="2"/>
        </w:numPr>
        <w:spacing w:after="120" w:line="276"/>
      </w:pPr>
      <w:r>
        <w:rPr>
          <w:rFonts w:ascii="Arial" w:cs="Arial" w:eastAsia="Arial" w:hAnsi="Arial"/>
          <w:b/>
          <w:bCs/>
          <w:sz w:val="22"/>
          <w:szCs w:val="22"/>
        </w:rPr>
        <w:t xml:space="preserve">IoU (Intersection over Union): </w:t>
      </w:r>
      <w:r>
        <w:rPr>
          <w:rFonts w:ascii="Arial" w:cs="Arial" w:eastAsia="Arial" w:hAnsi="Arial"/>
          <w:sz w:val="22"/>
          <w:szCs w:val="22"/>
        </w:rPr>
        <w:t xml:space="preserve">Computed between the binarised heatmap and the lesion segmentation mask at three thresholds (0.3, 0.5, 0.7) to assess sensitivity to threshold selection.</w:t>
      </w:r>
    </w:p>
    <w:p>
      <w:pPr>
        <w:pStyle w:val="ListParagraph"/>
        <w:numPr>
          <w:ilvl w:val="0"/>
          <w:numId w:val="2"/>
        </w:numPr>
        <w:spacing w:after="120" w:line="276"/>
      </w:pPr>
      <w:r>
        <w:rPr>
          <w:rFonts w:ascii="Arial" w:cs="Arial" w:eastAsia="Arial" w:hAnsi="Arial"/>
          <w:b/>
          <w:bCs/>
          <w:sz w:val="22"/>
          <w:szCs w:val="22"/>
        </w:rPr>
        <w:t xml:space="preserve">Dice Coefficient: </w:t>
      </w:r>
      <w:r>
        <w:rPr>
          <w:rFonts w:ascii="Arial" w:cs="Arial" w:eastAsia="Arial" w:hAnsi="Arial"/>
          <w:sz w:val="22"/>
          <w:szCs w:val="22"/>
        </w:rPr>
        <w:t xml:space="preserve">Harmonic mean of precision and recall between the binarised heatmap and ground truth mask.</w:t>
      </w:r>
    </w:p>
    <w:p>
      <w:pPr>
        <w:pStyle w:val="ListParagraph"/>
        <w:numPr>
          <w:ilvl w:val="0"/>
          <w:numId w:val="2"/>
        </w:numPr>
        <w:spacing w:after="120" w:line="276"/>
      </w:pPr>
      <w:r>
        <w:rPr>
          <w:rFonts w:ascii="Arial" w:cs="Arial" w:eastAsia="Arial" w:hAnsi="Arial"/>
          <w:b/>
          <w:bCs/>
          <w:sz w:val="22"/>
          <w:szCs w:val="22"/>
        </w:rPr>
        <w:t xml:space="preserve">Pointing Game Accuracy: </w:t>
      </w:r>
      <w:r>
        <w:rPr>
          <w:rFonts w:ascii="Arial" w:cs="Arial" w:eastAsia="Arial" w:hAnsi="Arial"/>
          <w:sz w:val="22"/>
          <w:szCs w:val="22"/>
        </w:rPr>
        <w:t xml:space="preserve">Binary metric: does the single highest-attribution pixel fall within the lesion mask? Reported as percentage across the test set.</w:t>
      </w:r>
    </w:p>
    <w:p>
      <w:pPr>
        <w:pStyle w:val="Heading3"/>
      </w:pPr>
      <w:r>
        <w:t xml:space="preserve">5.4.3 Dimension 3: Robustness</w:t>
      </w:r>
    </w:p>
    <w:p>
      <w:pPr>
        <w:spacing w:after="200" w:line="276"/>
      </w:pPr>
      <w:r>
        <w:t xml:space="preserve">Robustness measures explanation stability under minor input changes.</w:t>
      </w:r>
    </w:p>
    <w:p>
      <w:pPr>
        <w:pStyle w:val="ListParagraph"/>
        <w:numPr>
          <w:ilvl w:val="0"/>
          <w:numId w:val="2"/>
        </w:numPr>
        <w:spacing w:after="120" w:line="276"/>
      </w:pPr>
      <w:r>
        <w:rPr>
          <w:rFonts w:ascii="Arial" w:cs="Arial" w:eastAsia="Arial" w:hAnsi="Arial"/>
          <w:b/>
          <w:bCs/>
          <w:sz w:val="22"/>
          <w:szCs w:val="22"/>
        </w:rPr>
        <w:t xml:space="preserve">Max-Sensitivity: </w:t>
      </w:r>
      <w:r>
        <w:rPr>
          <w:rFonts w:ascii="Arial" w:cs="Arial" w:eastAsia="Arial" w:hAnsi="Arial"/>
          <w:sz w:val="22"/>
          <w:szCs w:val="22"/>
        </w:rPr>
        <w:t xml:space="preserve">For each test image, N=50 random perturbations (Gaussian noise, σ=0.01) are applied. The maximum L2 distance between the original explanation and any perturbed explanation is recorded. Lower values indicate more stable explanations.</w:t>
      </w:r>
    </w:p>
    <w:p>
      <w:pPr>
        <w:pStyle w:val="Heading3"/>
      </w:pPr>
      <w:r>
        <w:t xml:space="preserve">5.4.4 Dimension 4: Complexity</w:t>
      </w:r>
    </w:p>
    <w:p>
      <w:pPr>
        <w:spacing w:after="200" w:line="276"/>
      </w:pPr>
      <w:r>
        <w:t xml:space="preserve">Complexity measures explanation conciseness and clinical utility.</w:t>
      </w:r>
    </w:p>
    <w:p>
      <w:pPr>
        <w:pStyle w:val="ListParagraph"/>
        <w:numPr>
          <w:ilvl w:val="0"/>
          <w:numId w:val="2"/>
        </w:numPr>
        <w:spacing w:after="120" w:line="276"/>
      </w:pPr>
      <w:r>
        <w:rPr>
          <w:rFonts w:ascii="Arial" w:cs="Arial" w:eastAsia="Arial" w:hAnsi="Arial"/>
          <w:b/>
          <w:bCs/>
          <w:sz w:val="22"/>
          <w:szCs w:val="22"/>
        </w:rPr>
        <w:t xml:space="preserve">Explanation Entropy: </w:t>
      </w:r>
      <w:r>
        <w:rPr>
          <w:rFonts w:ascii="Arial" w:cs="Arial" w:eastAsia="Arial" w:hAnsi="Arial"/>
          <w:sz w:val="22"/>
          <w:szCs w:val="22"/>
        </w:rPr>
        <w:t xml:space="preserve">Shannon entropy of the normalised attribution map. Lower entropy indicates a more focused, interpretable explanation. Clinicians prefer concentrated highlights over diffuse heatmaps that activate everywhere.</w:t>
      </w:r>
    </w:p>
    <w:p>
      <w:pPr>
        <w:pStyle w:val="Heading2"/>
      </w:pPr>
      <w:r>
        <w:t xml:space="preserve">5.5 Evaluation Protocol</w:t>
      </w:r>
    </w:p>
    <w:p>
      <w:pPr>
        <w:spacing w:after="200" w:line="276"/>
      </w:pPr>
      <w:r>
        <w:t xml:space="preserve">To ensure reproducibility and fair comparison, the following protocol is fixed:</w:t>
      </w:r>
    </w:p>
    <w:p>
      <w:pPr>
        <w:pStyle w:val="ListParagraph"/>
        <w:numPr>
          <w:ilvl w:val="0"/>
          <w:numId w:val="2"/>
        </w:numPr>
        <w:spacing w:after="120" w:line="276"/>
      </w:pPr>
      <w:r>
        <w:rPr>
          <w:rFonts w:ascii="Arial" w:cs="Arial" w:eastAsia="Arial" w:hAnsi="Arial"/>
          <w:sz w:val="22"/>
          <w:szCs w:val="22"/>
        </w:rPr>
        <w:t xml:space="preserve">All evaluations are conducted on correctly classified test-set images only (to isolate explanation quality from classification errors).</w:t>
      </w:r>
    </w:p>
    <w:p>
      <w:pPr>
        <w:pStyle w:val="ListParagraph"/>
        <w:numPr>
          <w:ilvl w:val="0"/>
          <w:numId w:val="2"/>
        </w:numPr>
        <w:spacing w:after="120" w:line="276"/>
      </w:pPr>
      <w:r>
        <w:rPr>
          <w:rFonts w:ascii="Arial" w:cs="Arial" w:eastAsia="Arial" w:hAnsi="Arial"/>
          <w:sz w:val="22"/>
          <w:szCs w:val="22"/>
        </w:rPr>
        <w:t xml:space="preserve">A random subset of incorrectly classified images is also analysed qualitatively to investigate explanation behaviour under model failure.</w:t>
      </w:r>
    </w:p>
    <w:p>
      <w:pPr>
        <w:pStyle w:val="ListParagraph"/>
        <w:numPr>
          <w:ilvl w:val="0"/>
          <w:numId w:val="2"/>
        </w:numPr>
        <w:spacing w:after="120" w:line="276"/>
      </w:pPr>
      <w:r>
        <w:rPr>
          <w:rFonts w:ascii="Arial" w:cs="Arial" w:eastAsia="Arial" w:hAnsi="Arial"/>
          <w:sz w:val="22"/>
          <w:szCs w:val="22"/>
        </w:rPr>
        <w:t xml:space="preserve">Binarization thresholds for plausibility: {0.3, 0.5, 0.7}. Results reported for all three; the optimal threshold per method is identified.</w:t>
      </w:r>
    </w:p>
    <w:p>
      <w:pPr>
        <w:pStyle w:val="ListParagraph"/>
        <w:numPr>
          <w:ilvl w:val="0"/>
          <w:numId w:val="2"/>
        </w:numPr>
        <w:spacing w:after="120" w:line="276"/>
      </w:pPr>
      <w:r>
        <w:rPr>
          <w:rFonts w:ascii="Arial" w:cs="Arial" w:eastAsia="Arial" w:hAnsi="Arial"/>
          <w:sz w:val="22"/>
          <w:szCs w:val="22"/>
        </w:rPr>
        <w:t xml:space="preserve">Perturbation baseline for faithfulness: mean pixel value of the training set (not zero or random noise).</w:t>
      </w:r>
    </w:p>
    <w:p>
      <w:pPr>
        <w:pStyle w:val="ListParagraph"/>
        <w:numPr>
          <w:ilvl w:val="0"/>
          <w:numId w:val="2"/>
        </w:numPr>
        <w:spacing w:after="120" w:line="276"/>
      </w:pPr>
      <w:r>
        <w:rPr>
          <w:rFonts w:ascii="Arial" w:cs="Arial" w:eastAsia="Arial" w:hAnsi="Arial"/>
          <w:sz w:val="22"/>
          <w:szCs w:val="22"/>
        </w:rPr>
        <w:t xml:space="preserve">Perturbation step size for AOPC: 10% increments (10 steps).</w:t>
      </w:r>
    </w:p>
    <w:p>
      <w:pPr>
        <w:pStyle w:val="ListParagraph"/>
        <w:numPr>
          <w:ilvl w:val="0"/>
          <w:numId w:val="2"/>
        </w:numPr>
        <w:spacing w:after="120" w:line="276"/>
      </w:pPr>
      <w:r>
        <w:rPr>
          <w:rFonts w:ascii="Arial" w:cs="Arial" w:eastAsia="Arial" w:hAnsi="Arial"/>
          <w:sz w:val="22"/>
          <w:szCs w:val="22"/>
        </w:rPr>
        <w:t xml:space="preserve">KernelSHAP and LIME: 1000 perturbation samples per image.</w:t>
      </w:r>
    </w:p>
    <w:p>
      <w:pPr>
        <w:pStyle w:val="ListParagraph"/>
        <w:numPr>
          <w:ilvl w:val="0"/>
          <w:numId w:val="2"/>
        </w:numPr>
        <w:spacing w:after="120" w:line="276"/>
      </w:pPr>
      <w:r>
        <w:rPr>
          <w:rFonts w:ascii="Arial" w:cs="Arial" w:eastAsia="Arial" w:hAnsi="Arial"/>
          <w:sz w:val="22"/>
          <w:szCs w:val="22"/>
        </w:rPr>
        <w:t xml:space="preserve">All metrics are computed per-image and reported as mean ± std across the test set, stratified by diagnostic class.</w:t>
      </w:r>
    </w:p>
    <w:p>
      <w:pPr>
        <w:pStyle w:val="Heading1"/>
      </w:pPr>
      <w:r>
        <w:t xml:space="preserve">6. Tools, Libraries, and Infrastructure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100"/>
        <w:gridCol w:w="3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implementation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training, inference, gradient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Zoo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timm (PyTorch Image Models)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Pretrained EfficientNet-B0, DenseNet-121, ViT-B/16, Swin-T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XAI (CNN)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pytorch-grad-cam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Grad-CAM, HiResCAM, EigenCAM, Score-CAM implementations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XAI (General)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Captum (Facebook/Meta)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LIME, KernelSHAP, Layer-wise Relevance Propagation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XAI (Transformer)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Transformer-MM-Explainability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Attention Rollout, Transformer Attribution (Chefer et 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torchvision, albumentations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loading, augmentation, preprocessing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Computing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SciPy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computation, perturbation experiments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Seaborn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overlays, radar charts, comparison plots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Tracking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Weights &amp; Biases (wandb)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metrics, hyperparameters, and artefacts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SciPy (stats), statsmodels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Wilcoxon signed-rank tests for significance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Environment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Notebooks (GPU P100) or Google Colab Pro (A100)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and evaluation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 GitHub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versioning and reproducibility</w:t>
            </w:r>
          </w:p>
        </w:tc>
      </w:tr>
    </w:tbl>
    <w:p>
      <w:pPr>
        <w:pStyle w:val="Heading1"/>
      </w:pPr>
      <w:r>
        <w:t xml:space="preserve">7. Experimental Design and Analysis Plan</w:t>
      </w:r>
    </w:p>
    <w:p>
      <w:pPr>
        <w:pStyle w:val="Heading2"/>
      </w:pPr>
      <w:r>
        <w:t xml:space="preserve">7.1 Comparison Matrix</w:t>
      </w:r>
    </w:p>
    <w:p>
      <w:pPr>
        <w:spacing w:after="200" w:line="276"/>
      </w:pPr>
      <w:r>
        <w:t xml:space="preserve">The full comparison matrix consists of 16 model-method combinations (4 models × 4 applicable methods per model, accounting for architecture-specific restrictions). Each cell will contain values for all evaluation metrics: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400"/>
        <w:gridCol w:w="1360"/>
        <w:gridCol w:w="13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Grad-CAM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HiResCAM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KernelSHAP</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Attn Rollout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AttnLRP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EfficientNet-B0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DenseNet-121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ViT-Base/16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pPr>
      <w:r>
        <w:t xml:space="preserve">7.2 Statistical Analysis</w:t>
      </w:r>
    </w:p>
    <w:p>
      <w:pPr>
        <w:spacing w:after="200" w:line="276"/>
      </w:pPr>
      <w:r>
        <w:t xml:space="preserve">For each metric, pairwise comparisons between model-XAI combinations will be tested using the Wilcoxon signed-rank test (non-parametric, paired, per-image) with Bonferroni correction for multiple comparisons. Effect sizes will be reported using Cliff’s delta. Results will be presented in three formats:</w:t>
      </w:r>
    </w:p>
    <w:p>
      <w:pPr>
        <w:pStyle w:val="ListParagraph"/>
        <w:numPr>
          <w:ilvl w:val="0"/>
          <w:numId w:val="2"/>
        </w:numPr>
        <w:spacing w:after="120" w:line="276"/>
      </w:pPr>
      <w:r>
        <w:rPr>
          <w:rFonts w:ascii="Arial" w:cs="Arial" w:eastAsia="Arial" w:hAnsi="Arial"/>
          <w:b/>
          <w:bCs/>
          <w:sz w:val="22"/>
          <w:szCs w:val="22"/>
        </w:rPr>
        <w:t xml:space="preserve">Summary tables </w:t>
      </w:r>
      <w:r>
        <w:rPr>
          <w:rFonts w:ascii="Arial" w:cs="Arial" w:eastAsia="Arial" w:hAnsi="Arial"/>
          <w:sz w:val="22"/>
          <w:szCs w:val="22"/>
        </w:rPr>
        <w:t xml:space="preserve">with mean ± std per metric per model-method cell.</w:t>
      </w:r>
    </w:p>
    <w:p>
      <w:pPr>
        <w:pStyle w:val="ListParagraph"/>
        <w:numPr>
          <w:ilvl w:val="0"/>
          <w:numId w:val="2"/>
        </w:numPr>
        <w:spacing w:after="120" w:line="276"/>
      </w:pPr>
      <w:r>
        <w:rPr>
          <w:rFonts w:ascii="Arial" w:cs="Arial" w:eastAsia="Arial" w:hAnsi="Arial"/>
          <w:b/>
          <w:bCs/>
          <w:sz w:val="22"/>
          <w:szCs w:val="22"/>
        </w:rPr>
        <w:t xml:space="preserve">Radar (spider) charts </w:t>
      </w:r>
      <w:r>
        <w:rPr>
          <w:rFonts w:ascii="Arial" w:cs="Arial" w:eastAsia="Arial" w:hAnsi="Arial"/>
          <w:sz w:val="22"/>
          <w:szCs w:val="22"/>
        </w:rPr>
        <w:t xml:space="preserve">visualising the four-dimensional profile (faithfulness, plausibility, robustness, complexity) for each model-method combination.</w:t>
      </w:r>
    </w:p>
    <w:p>
      <w:pPr>
        <w:pStyle w:val="ListParagraph"/>
        <w:numPr>
          <w:ilvl w:val="0"/>
          <w:numId w:val="2"/>
        </w:numPr>
        <w:spacing w:after="120" w:line="276"/>
      </w:pPr>
      <w:r>
        <w:rPr>
          <w:rFonts w:ascii="Arial" w:cs="Arial" w:eastAsia="Arial" w:hAnsi="Arial"/>
          <w:b/>
          <w:bCs/>
          <w:sz w:val="22"/>
          <w:szCs w:val="22"/>
        </w:rPr>
        <w:t xml:space="preserve">Faithfulness vs. Plausibility scatter plots </w:t>
      </w:r>
      <w:r>
        <w:rPr>
          <w:rFonts w:ascii="Arial" w:cs="Arial" w:eastAsia="Arial" w:hAnsi="Arial"/>
          <w:sz w:val="22"/>
          <w:szCs w:val="22"/>
        </w:rPr>
        <w:t xml:space="preserve">to identify and quantify the trade-off between causal and spatial alignment.</w:t>
      </w:r>
    </w:p>
    <w:p>
      <w:pPr>
        <w:pStyle w:val="Heading2"/>
      </w:pPr>
      <w:r>
        <w:t xml:space="preserve">7.3 Ablation and Sensitivity Analyses</w:t>
      </w:r>
    </w:p>
    <w:p>
      <w:pPr>
        <w:pStyle w:val="ListParagraph"/>
        <w:numPr>
          <w:ilvl w:val="0"/>
          <w:numId w:val="2"/>
        </w:numPr>
        <w:spacing w:after="120" w:line="276"/>
      </w:pPr>
      <w:r>
        <w:rPr>
          <w:rFonts w:ascii="Arial" w:cs="Arial" w:eastAsia="Arial" w:hAnsi="Arial"/>
          <w:sz w:val="22"/>
          <w:szCs w:val="22"/>
        </w:rPr>
        <w:t xml:space="preserve">Threshold sensitivity analysis for plausibility metrics (sweep from 0.1 to 0.9 in 0.1 increments).</w:t>
      </w:r>
    </w:p>
    <w:p>
      <w:pPr>
        <w:pStyle w:val="ListParagraph"/>
        <w:numPr>
          <w:ilvl w:val="0"/>
          <w:numId w:val="2"/>
        </w:numPr>
        <w:spacing w:after="120" w:line="276"/>
      </w:pPr>
      <w:r>
        <w:rPr>
          <w:rFonts w:ascii="Arial" w:cs="Arial" w:eastAsia="Arial" w:hAnsi="Arial"/>
          <w:sz w:val="22"/>
          <w:szCs w:val="22"/>
        </w:rPr>
        <w:t xml:space="preserve">Perturbation baseline sensitivity for faithfulness (compare mean-pixel, Gaussian blur, and zero baselines).</w:t>
      </w:r>
    </w:p>
    <w:p>
      <w:pPr>
        <w:pStyle w:val="ListParagraph"/>
        <w:numPr>
          <w:ilvl w:val="0"/>
          <w:numId w:val="2"/>
        </w:numPr>
        <w:spacing w:after="120" w:line="276"/>
      </w:pPr>
      <w:r>
        <w:rPr>
          <w:rFonts w:ascii="Arial" w:cs="Arial" w:eastAsia="Arial" w:hAnsi="Arial"/>
          <w:sz w:val="22"/>
          <w:szCs w:val="22"/>
        </w:rPr>
        <w:t xml:space="preserve">Per-class analysis to identify whether certain diagnostic categories (e.g., melanoma vs. nevus) yield systematically different explanation quality.</w:t>
      </w:r>
    </w:p>
    <w:p>
      <w:pPr>
        <w:pStyle w:val="Heading1"/>
      </w:pPr>
      <w:r>
        <w:t xml:space="preserve">8. Expected Outputs and Contributions</w:t>
      </w:r>
    </w:p>
    <w:p>
      <w:pPr>
        <w:pStyle w:val="Heading2"/>
      </w:pPr>
      <w:r>
        <w:t xml:space="preserve">8.1 Expected Findings</w:t>
      </w:r>
    </w:p>
    <w:p>
      <w:pPr>
        <w:spacing w:after="200" w:line="276"/>
      </w:pPr>
      <w:r>
        <w:t xml:space="preserve">Based on preliminary literature and the structural properties of the architectures, the following hypotheses are tested:</w:t>
      </w:r>
    </w:p>
    <w:p>
      <w:pPr>
        <w:pStyle w:val="ListParagraph"/>
        <w:numPr>
          <w:ilvl w:val="0"/>
          <w:numId w:val="2"/>
        </w:numPr>
        <w:spacing w:after="120" w:line="276"/>
      </w:pPr>
      <w:r>
        <w:rPr>
          <w:rFonts w:ascii="Arial" w:cs="Arial" w:eastAsia="Arial" w:hAnsi="Arial"/>
          <w:b/>
          <w:bCs/>
          <w:sz w:val="22"/>
          <w:szCs w:val="22"/>
        </w:rPr>
        <w:t xml:space="preserve">H1 (Faithfulness): </w:t>
      </w:r>
      <w:r>
        <w:rPr>
          <w:rFonts w:ascii="Arial" w:cs="Arial" w:eastAsia="Arial" w:hAnsi="Arial"/>
          <w:sz w:val="22"/>
          <w:szCs w:val="22"/>
        </w:rPr>
        <w:t xml:space="preserve">Transformer-native XAI methods (AttnLRP) will achieve higher AOPC scores than CNN-native methods (Grad-CAM) because attention-based attribution is a first-class architectural feature in ViTs, not a post-hoc approximation.</w:t>
      </w:r>
    </w:p>
    <w:p>
      <w:pPr>
        <w:pStyle w:val="ListParagraph"/>
        <w:numPr>
          <w:ilvl w:val="0"/>
          <w:numId w:val="2"/>
        </w:numPr>
        <w:spacing w:after="120" w:line="276"/>
      </w:pPr>
      <w:r>
        <w:rPr>
          <w:rFonts w:ascii="Arial" w:cs="Arial" w:eastAsia="Arial" w:hAnsi="Arial"/>
          <w:b/>
          <w:bCs/>
          <w:sz w:val="22"/>
          <w:szCs w:val="22"/>
        </w:rPr>
        <w:t xml:space="preserve">H2 (Plausibility): </w:t>
      </w:r>
      <w:r>
        <w:rPr>
          <w:rFonts w:ascii="Arial" w:cs="Arial" w:eastAsia="Arial" w:hAnsi="Arial"/>
          <w:sz w:val="22"/>
          <w:szCs w:val="22"/>
        </w:rPr>
        <w:t xml:space="preserve">CNN models (particularly DenseNet-121) will achieve higher IoU/Dice scores because their local receptive fields produce more spatially concentrated heatmaps that align with lesion boundaries, whereas ViT attention maps tend to be more diffuse.</w:t>
      </w:r>
    </w:p>
    <w:p>
      <w:pPr>
        <w:pStyle w:val="ListParagraph"/>
        <w:numPr>
          <w:ilvl w:val="0"/>
          <w:numId w:val="2"/>
        </w:numPr>
        <w:spacing w:after="120" w:line="276"/>
      </w:pPr>
      <w:r>
        <w:rPr>
          <w:rFonts w:ascii="Arial" w:cs="Arial" w:eastAsia="Arial" w:hAnsi="Arial"/>
          <w:b/>
          <w:bCs/>
          <w:sz w:val="22"/>
          <w:szCs w:val="22"/>
        </w:rPr>
        <w:t xml:space="preserve">H3 (Faithfulness–Plausibility Trade-off): </w:t>
      </w:r>
      <w:r>
        <w:rPr>
          <w:rFonts w:ascii="Arial" w:cs="Arial" w:eastAsia="Arial" w:hAnsi="Arial"/>
          <w:sz w:val="22"/>
          <w:szCs w:val="22"/>
        </w:rPr>
        <w:t xml:space="preserve">A negative or weak correlation between faithfulness (AOPC) and plausibility (IoU) will be observed across model-method pairs, confirming that spatial alignment with ground truth does not guarantee causal correctness.</w:t>
      </w:r>
    </w:p>
    <w:p>
      <w:pPr>
        <w:pStyle w:val="ListParagraph"/>
        <w:numPr>
          <w:ilvl w:val="0"/>
          <w:numId w:val="2"/>
        </w:numPr>
        <w:spacing w:after="120" w:line="276"/>
      </w:pPr>
      <w:r>
        <w:rPr>
          <w:rFonts w:ascii="Arial" w:cs="Arial" w:eastAsia="Arial" w:hAnsi="Arial"/>
          <w:b/>
          <w:bCs/>
          <w:sz w:val="22"/>
          <w:szCs w:val="22"/>
        </w:rPr>
        <w:t xml:space="preserve">H4 (Model-Agnostic Methods): </w:t>
      </w:r>
      <w:r>
        <w:rPr>
          <w:rFonts w:ascii="Arial" w:cs="Arial" w:eastAsia="Arial" w:hAnsi="Arial"/>
          <w:sz w:val="22"/>
          <w:szCs w:val="22"/>
        </w:rPr>
        <w:t xml:space="preserve">LIME and KernelSHAP will show moderate but consistent performance across both CNNs and ViTs, making them the most reliable cross-architecture explanation tools, though at higher computational cost.</w:t>
      </w:r>
    </w:p>
    <w:p>
      <w:pPr>
        <w:pStyle w:val="ListParagraph"/>
        <w:numPr>
          <w:ilvl w:val="0"/>
          <w:numId w:val="2"/>
        </w:numPr>
        <w:spacing w:after="120" w:line="276"/>
      </w:pPr>
      <w:r>
        <w:rPr>
          <w:rFonts w:ascii="Arial" w:cs="Arial" w:eastAsia="Arial" w:hAnsi="Arial"/>
          <w:b/>
          <w:bCs/>
          <w:sz w:val="22"/>
          <w:szCs w:val="22"/>
        </w:rPr>
        <w:t xml:space="preserve">H5 (Robustness): </w:t>
      </w:r>
      <w:r>
        <w:rPr>
          <w:rFonts w:ascii="Arial" w:cs="Arial" w:eastAsia="Arial" w:hAnsi="Arial"/>
          <w:sz w:val="22"/>
          <w:szCs w:val="22"/>
        </w:rPr>
        <w:t xml:space="preserve">Model-agnostic methods (LIME, KernelSHAP) will exhibit higher Max-Sensitivity (lower robustness) due to their stochastic perturbation-based nature, compared to deterministic gradient-based methods.</w:t>
      </w:r>
    </w:p>
    <w:p>
      <w:pPr>
        <w:pStyle w:val="Heading2"/>
      </w:pPr>
      <w:r>
        <w:t xml:space="preserve">8.2 Deliverables</w:t>
      </w:r>
    </w:p>
    <w:p>
      <w:pPr>
        <w:spacing w:after="200" w:line="276"/>
      </w:pPr>
      <w:r>
        <w:t xml:space="preserve">This thesis will produce the following concrete deliverables:</w:t>
      </w:r>
    </w:p>
    <w:p>
      <w:pPr>
        <w:pStyle w:val="ListParagraph"/>
        <w:numPr>
          <w:ilvl w:val="0"/>
          <w:numId w:val="3"/>
        </w:numPr>
        <w:spacing w:after="120" w:line="276"/>
      </w:pPr>
      <w:r>
        <w:rPr>
          <w:rFonts w:ascii="Arial" w:cs="Arial" w:eastAsia="Arial" w:hAnsi="Arial"/>
          <w:sz w:val="22"/>
          <w:szCs w:val="22"/>
        </w:rPr>
        <w:t xml:space="preserve">A comprehensive results matrix (24 model-method cells × 8+ metrics) with statistical significance testing.</w:t>
      </w:r>
    </w:p>
    <w:p>
      <w:pPr>
        <w:pStyle w:val="ListParagraph"/>
        <w:numPr>
          <w:ilvl w:val="0"/>
          <w:numId w:val="3"/>
        </w:numPr>
        <w:spacing w:after="120" w:line="276"/>
      </w:pPr>
      <w:r>
        <w:rPr>
          <w:rFonts w:ascii="Arial" w:cs="Arial" w:eastAsia="Arial" w:hAnsi="Arial"/>
          <w:sz w:val="22"/>
          <w:szCs w:val="22"/>
        </w:rPr>
        <w:t xml:space="preserve">Multi-dimensional radar charts comparing all model-XAI profiles in a single visualisation.</w:t>
      </w:r>
    </w:p>
    <w:p>
      <w:pPr>
        <w:pStyle w:val="ListParagraph"/>
        <w:numPr>
          <w:ilvl w:val="0"/>
          <w:numId w:val="3"/>
        </w:numPr>
        <w:spacing w:after="120" w:line="276"/>
      </w:pPr>
      <w:r>
        <w:rPr>
          <w:rFonts w:ascii="Arial" w:cs="Arial" w:eastAsia="Arial" w:hAnsi="Arial"/>
          <w:sz w:val="22"/>
          <w:szCs w:val="22"/>
        </w:rPr>
        <w:t xml:space="preserve">Faithfulness vs. Plausibility trade-off scatter plots with Pareto frontier analysis.</w:t>
      </w:r>
    </w:p>
    <w:p>
      <w:pPr>
        <w:pStyle w:val="ListParagraph"/>
        <w:numPr>
          <w:ilvl w:val="0"/>
          <w:numId w:val="3"/>
        </w:numPr>
        <w:spacing w:after="120" w:line="276"/>
      </w:pPr>
      <w:r>
        <w:rPr>
          <w:rFonts w:ascii="Arial" w:cs="Arial" w:eastAsia="Arial" w:hAnsi="Arial"/>
          <w:sz w:val="22"/>
          <w:szCs w:val="22"/>
        </w:rPr>
        <w:t xml:space="preserve">Per-class diagnostic breakdown showing which lesion types are best/worst explained by each method.</w:t>
      </w:r>
    </w:p>
    <w:p>
      <w:pPr>
        <w:pStyle w:val="ListParagraph"/>
        <w:numPr>
          <w:ilvl w:val="0"/>
          <w:numId w:val="3"/>
        </w:numPr>
        <w:spacing w:after="120" w:line="276"/>
      </w:pPr>
      <w:r>
        <w:rPr>
          <w:rFonts w:ascii="Arial" w:cs="Arial" w:eastAsia="Arial" w:hAnsi="Arial"/>
          <w:sz w:val="22"/>
          <w:szCs w:val="22"/>
        </w:rPr>
        <w:t xml:space="preserve">A fully reproducible Kaggle/Colab notebook containing all code, from data loading to final metric computation.</w:t>
      </w:r>
    </w:p>
    <w:p>
      <w:pPr>
        <w:pStyle w:val="ListParagraph"/>
        <w:numPr>
          <w:ilvl w:val="0"/>
          <w:numId w:val="3"/>
        </w:numPr>
        <w:spacing w:after="120" w:line="276"/>
      </w:pPr>
      <w:r>
        <w:rPr>
          <w:rFonts w:ascii="Arial" w:cs="Arial" w:eastAsia="Arial" w:hAnsi="Arial"/>
          <w:sz w:val="22"/>
          <w:szCs w:val="22"/>
        </w:rPr>
        <w:t xml:space="preserve">A practical recommendation guide for clinical deployment: which model-XAI combination to use under different clinical priorities (maximum safety vs. efficiency vs. interpretability).</w:t>
      </w:r>
    </w:p>
    <w:p>
      <w:pPr>
        <w:pStyle w:val="ListParagraph"/>
        <w:numPr>
          <w:ilvl w:val="0"/>
          <w:numId w:val="3"/>
        </w:numPr>
        <w:spacing w:after="120" w:line="276"/>
      </w:pPr>
      <w:r>
        <w:rPr>
          <w:rFonts w:ascii="Arial" w:cs="Arial" w:eastAsia="Arial" w:hAnsi="Arial"/>
          <w:sz w:val="22"/>
          <w:szCs w:val="22"/>
        </w:rPr>
        <w:t xml:space="preserve">An open-source evaluation toolkit that can be applied to other medical imaging tasks with minimal modification.</w:t>
      </w:r>
    </w:p>
    <w:p>
      <w:pPr>
        <w:pStyle w:val="Heading2"/>
      </w:pPr>
      <w:r>
        <w:t xml:space="preserve">8.3 Academic Contributions</w:t>
      </w:r>
    </w:p>
    <w:p>
      <w:pPr>
        <w:pStyle w:val="ListParagraph"/>
        <w:numPr>
          <w:ilvl w:val="0"/>
          <w:numId w:val="2"/>
        </w:numPr>
        <w:spacing w:after="120" w:line="276"/>
      </w:pPr>
      <w:r>
        <w:rPr>
          <w:rFonts w:ascii="Arial" w:cs="Arial" w:eastAsia="Arial" w:hAnsi="Arial"/>
          <w:b/>
          <w:bCs/>
          <w:sz w:val="22"/>
          <w:szCs w:val="22"/>
        </w:rPr>
        <w:t xml:space="preserve">Methodological: </w:t>
      </w:r>
      <w:r>
        <w:rPr>
          <w:rFonts w:ascii="Arial" w:cs="Arial" w:eastAsia="Arial" w:hAnsi="Arial"/>
          <w:sz w:val="22"/>
          <w:szCs w:val="22"/>
        </w:rPr>
        <w:t xml:space="preserve">The first multi-dimensional, cross-architecture XAI evaluation framework for medical imaging, with a standardised protocol that enables future replication and extension.</w:t>
      </w:r>
    </w:p>
    <w:p>
      <w:pPr>
        <w:pStyle w:val="ListParagraph"/>
        <w:numPr>
          <w:ilvl w:val="0"/>
          <w:numId w:val="2"/>
        </w:numPr>
        <w:spacing w:after="120" w:line="276"/>
      </w:pPr>
      <w:r>
        <w:rPr>
          <w:rFonts w:ascii="Arial" w:cs="Arial" w:eastAsia="Arial" w:hAnsi="Arial"/>
          <w:b/>
          <w:bCs/>
          <w:sz w:val="22"/>
          <w:szCs w:val="22"/>
        </w:rPr>
        <w:t xml:space="preserve">Empirical: </w:t>
      </w:r>
      <w:r>
        <w:rPr>
          <w:rFonts w:ascii="Arial" w:cs="Arial" w:eastAsia="Arial" w:hAnsi="Arial"/>
          <w:sz w:val="22"/>
          <w:szCs w:val="22"/>
        </w:rPr>
        <w:t xml:space="preserve">Quantitative evidence on whether Vision Transformers produce inherently more interpretable models than CNNs, and whether the type of explanation method matters more than the underlying architecture.</w:t>
      </w:r>
    </w:p>
    <w:p>
      <w:pPr>
        <w:pStyle w:val="ListParagraph"/>
        <w:numPr>
          <w:ilvl w:val="0"/>
          <w:numId w:val="2"/>
        </w:numPr>
        <w:spacing w:after="120" w:line="276"/>
      </w:pPr>
      <w:r>
        <w:rPr>
          <w:rFonts w:ascii="Arial" w:cs="Arial" w:eastAsia="Arial" w:hAnsi="Arial"/>
          <w:b/>
          <w:bCs/>
          <w:sz w:val="22"/>
          <w:szCs w:val="22"/>
        </w:rPr>
        <w:t xml:space="preserve">Practical: </w:t>
      </w:r>
      <w:r>
        <w:rPr>
          <w:rFonts w:ascii="Arial" w:cs="Arial" w:eastAsia="Arial" w:hAnsi="Arial"/>
          <w:sz w:val="22"/>
          <w:szCs w:val="22"/>
        </w:rPr>
        <w:t xml:space="preserve">Actionable guidelines for practitioners selecting model-XAI combinations for dermatological AI tools, grounded in multi-metric evidence rather than single-metric benchmarks.</w:t>
      </w:r>
    </w:p>
    <w:p>
      <w:pPr>
        <w:pStyle w:val="Heading1"/>
      </w:pPr>
      <w:r>
        <w:t xml:space="preserve">9. Proposed Timeline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Setup &amp;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acquisition, preprocessing pipeline, train/val/test split, exploratory data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Model Training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3–5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Fine-tune all four models; hyperparameter tuning; achieve baseline classification performance (target: ≥85%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XAI Implementation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all six XAI methods; validate outputs visually; build heatmap generation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Metric Implementation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7–9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all evaluation metrics (AOPC, Insertion/Deletion, IoU, Dice, Pointing Game, Max-Sensitivity, Entropy)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Full Evaluation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complete evaluation matrix; compute all metrics; statistical significance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Analysis &amp; Visualisation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11–13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Radar charts, scatter plots, per-class analysis, ablation studies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Writing &amp; Submission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13–16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Thesis writing, revision, final notebook preparation, submission</w:t>
            </w:r>
          </w:p>
        </w:tc>
      </w:tr>
    </w:tbl>
    <w:p>
      <w:pPr>
        <w:pStyle w:val="Heading1"/>
      </w:pPr>
      <w:r>
        <w:t xml:space="preserve">10. Risks and Mitigation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 models underperform on small ISIC subset due to data hunger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strong ImageNet pretraining; apply aggressive augmentation; Swin-T is designed for smaller datasets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KernelSHAP / LIME too slow for full test set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on a stratified random subset (N=500); report confidence intervals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imbalance skews per-class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class-weighted loss, stratified sampling, and report per-class metrics separately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Binarization threshold choice biases plausibility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results at 3 fixed thresholds + optimal threshold per method via sweep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budget limitations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Kaggle free GPU; prioritise Colab Pro if needed; cache intermediate results</w:t>
            </w:r>
          </w:p>
        </w:tc>
      </w:tr>
    </w:tbl>
    <w:p>
      <w:pPr>
        <w:pStyle w:val="Heading1"/>
      </w:pPr>
      <w:r>
        <w:t xml:space="preserve">11. Key References</w:t>
      </w:r>
    </w:p>
    <w:p>
      <w:pPr>
        <w:spacing w:after="200" w:line="276"/>
      </w:pPr>
      <w:r>
        <w:rPr>
          <w:i/>
          <w:iCs/>
        </w:rPr>
        <w:t xml:space="preserve">Selvaraju, R. R., et al. (2017). </w:t>
      </w:r>
      <w:r>
        <w:t xml:space="preserve">Grad-CAM: Visual Explanations from Deep Networks via Gradient-based Localization. ICCV.</w:t>
      </w:r>
    </w:p>
    <w:p>
      <w:pPr>
        <w:spacing w:after="200" w:line="276"/>
      </w:pPr>
      <w:r>
        <w:rPr>
          <w:i/>
          <w:iCs/>
        </w:rPr>
        <w:t xml:space="preserve">Draelos, R. L., &amp; Carin, L. (2021). </w:t>
      </w:r>
      <w:r>
        <w:t xml:space="preserve">Use HiResCAM instead of Grad-CAM for faithful explanations of CNNs. arXiv:2011.08891.</w:t>
      </w:r>
    </w:p>
    <w:p>
      <w:pPr>
        <w:spacing w:after="200" w:line="276"/>
      </w:pPr>
      <w:r>
        <w:rPr>
          <w:i/>
          <w:iCs/>
        </w:rPr>
        <w:t xml:space="preserve">Chefer, H., Gur, S., &amp; Wolf, L. (2021). </w:t>
      </w:r>
      <w:r>
        <w:t xml:space="preserve">Transformer Interpretability Beyond Attention Visualization. CVPR.</w:t>
      </w:r>
    </w:p>
    <w:p>
      <w:pPr>
        <w:spacing w:after="200" w:line="276"/>
      </w:pPr>
      <w:r>
        <w:rPr>
          <w:i/>
          <w:iCs/>
        </w:rPr>
        <w:t xml:space="preserve">Ribeiro, M. T., Singh, S., &amp; Guestrin, C. (2016). </w:t>
      </w:r>
      <w:r>
        <w:t xml:space="preserve">"Why Should I Trust You?": Explaining the Predictions of Any Classifier. KDD.</w:t>
      </w:r>
    </w:p>
    <w:p>
      <w:pPr>
        <w:spacing w:after="200" w:line="276"/>
      </w:pPr>
      <w:r>
        <w:rPr>
          <w:i/>
          <w:iCs/>
        </w:rPr>
        <w:t xml:space="preserve">Lundberg, S. M., &amp; Lee, S.-I. (2017). </w:t>
      </w:r>
      <w:r>
        <w:t xml:space="preserve">A Unified Approach to Interpreting Model Predictions. NeurIPS.</w:t>
      </w:r>
    </w:p>
    <w:p>
      <w:pPr>
        <w:spacing w:after="200" w:line="276"/>
      </w:pPr>
      <w:r>
        <w:rPr>
          <w:i/>
          <w:iCs/>
        </w:rPr>
        <w:t xml:space="preserve">Lamprou, V., Kallipolitou, A., &amp; Maglogiannis, I. (2024). </w:t>
      </w:r>
      <w:r>
        <w:t xml:space="preserve">On the evaluation of deep learning interpretability methods for medical images under the scope of faithfulness. Computer Methods and Programs in Biomedicine.</w:t>
      </w:r>
    </w:p>
    <w:p>
      <w:pPr>
        <w:spacing w:after="200" w:line="276"/>
      </w:pPr>
      <w:r>
        <w:rPr>
          <w:i/>
          <w:iCs/>
        </w:rPr>
        <w:t xml:space="preserve">Komorowski, P., et al. (2023). </w:t>
      </w:r>
      <w:r>
        <w:t xml:space="preserve">Towards Evaluating Explanations of Vision Transformers for Medical Imaging. CVPR Workshop on XAI for Computer Vision.</w:t>
      </w:r>
    </w:p>
    <w:p>
      <w:pPr>
        <w:spacing w:after="200" w:line="276"/>
      </w:pPr>
      <w:r>
        <w:rPr>
          <w:i/>
          <w:iCs/>
        </w:rPr>
        <w:t xml:space="preserve">Tschandl, P., et al. (2018). </w:t>
      </w:r>
      <w:r>
        <w:t xml:space="preserve">The HAM10000 dataset: A large collection of multi-source dermatoscopic images of common pigmented skin lesions. Scientific Data.</w:t>
      </w:r>
    </w:p>
    <w:p>
      <w:pPr>
        <w:spacing w:after="200" w:line="276"/>
      </w:pPr>
      <w:r>
        <w:rPr>
          <w:i/>
          <w:iCs/>
        </w:rPr>
        <w:t xml:space="preserve">Codella, N., et al. (2019). </w:t>
      </w:r>
      <w:r>
        <w:t xml:space="preserve">Skin Lesion Analysis Toward Melanoma Detection 2018: A Challenge Hosted by the ISIC. arXiv:1902.03368.</w:t>
      </w:r>
    </w:p>
    <w:p>
      <w:pPr>
        <w:spacing w:after="200" w:line="276"/>
      </w:pPr>
      <w:r>
        <w:rPr>
          <w:i/>
          <w:iCs/>
        </w:rPr>
        <w:t xml:space="preserve">Liu, Z., et al. (2021). </w:t>
      </w:r>
      <w:r>
        <w:t xml:space="preserve">Swin Transformer: Hierarchical Vision Transformer using Shifted Windows. ICCV.</w:t>
      </w:r>
    </w:p>
    <w:p>
      <w:pPr>
        <w:spacing w:after="200" w:line="276"/>
      </w:pPr>
      <w:r>
        <w:rPr>
          <w:i/>
          <w:iCs/>
        </w:rPr>
        <w:t xml:space="preserve">Dosovitskiy, A., et al. (2021). </w:t>
      </w:r>
      <w:r>
        <w:t xml:space="preserve">An Image is Worth 16x16 Words: Transformers for Image Recognition at Scale. ICLR.</w:t>
      </w:r>
    </w:p>
    <w:p>
      <w:pPr>
        <w:spacing w:after="200" w:line="276"/>
      </w:pPr>
      <w:r>
        <w:rPr>
          <w:i/>
          <w:iCs/>
        </w:rPr>
        <w:t xml:space="preserve">Tan, M., &amp; Le, Q. V. (2019). </w:t>
      </w:r>
      <w:r>
        <w:t xml:space="preserve">EfficientNet: Rethinking Model Scaling for Convolutional Neural Networks. ICML.</w:t>
      </w:r>
    </w:p>
    <w:p>
      <w:pPr>
        <w:spacing w:after="200" w:line="276"/>
      </w:pPr>
      <w:r>
        <w:rPr>
          <w:i/>
          <w:iCs/>
        </w:rPr>
        <w:t xml:space="preserve">BMC Medical Imaging (2026). </w:t>
      </w:r>
      <w:r>
        <w:t xml:space="preserve">Explainable AI in medical imaging: a systematic review of techniques, applications, and challenges.</w:t>
      </w:r>
    </w:p>
    <w:p>
      <w:pPr>
        <w:spacing w:after="200" w:line="276"/>
      </w:pPr>
      <w:r>
        <w:rPr>
          <w:i/>
          <w:iCs/>
        </w:rPr>
        <w:t xml:space="preserve">Frontiers in AI (2026). </w:t>
      </w:r>
      <w:r>
        <w:t xml:space="preserve">Explainable AI in healthcare: a systematic review of XAI use cases in imaging, diagnostics, and rehabilitation.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XAI Evaluation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2026-04-14T00:21:32.422Z</dcterms:created>
  <dcterms:modified xsi:type="dcterms:W3CDTF">2026-04-14T00:21:32.423Z</dcterms:modified>
</cp:coreProperties>
</file>

<file path=docProps/custom.xml><?xml version="1.0" encoding="utf-8"?>
<Properties xmlns="http://schemas.openxmlformats.org/officeDocument/2006/custom-properties" xmlns:vt="http://schemas.openxmlformats.org/officeDocument/2006/docPropsVTypes"/>
</file>