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389" w:leader="none"/>
          <w:tab w:val="left" w:pos="3002" w:leader="none"/>
          <w:tab w:val="left" w:pos="4859" w:leader="none"/>
          <w:tab w:val="left" w:pos="5683" w:leader="none"/>
          <w:tab w:val="left" w:pos="6618" w:leader="none"/>
          <w:tab w:val="left" w:pos="8036" w:leader="none"/>
        </w:tabs>
        <w:spacing w:lineRule="auto" w:line="276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Автономная некоммерческая организация высшего образования</w:t>
      </w:r>
    </w:p>
    <w:p>
      <w:pPr>
        <w:pStyle w:val="Normal"/>
        <w:tabs>
          <w:tab w:val="clear" w:pos="708"/>
          <w:tab w:val="left" w:pos="1389" w:leader="none"/>
          <w:tab w:val="left" w:pos="3002" w:leader="none"/>
          <w:tab w:val="left" w:pos="4859" w:leader="none"/>
          <w:tab w:val="left" w:pos="5683" w:leader="none"/>
          <w:tab w:val="left" w:pos="6618" w:leader="none"/>
          <w:tab w:val="left" w:pos="8036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«Университет Иннополис»</w:t>
      </w:r>
      <w:r>
        <w:rPr>
          <w:rFonts w:cs="Times New Roman" w:ascii="Times New Roman" w:hAnsi="Times New Roman"/>
          <w:sz w:val="28"/>
          <w:szCs w:val="28"/>
        </w:rPr>
        <w:t xml:space="preserve">  </w:t>
      </w:r>
    </w:p>
    <w:p>
      <w:pPr>
        <w:pStyle w:val="Normal"/>
        <w:tabs>
          <w:tab w:val="clear" w:pos="708"/>
          <w:tab w:val="left" w:pos="1389" w:leader="none"/>
          <w:tab w:val="left" w:pos="3002" w:leader="none"/>
          <w:tab w:val="left" w:pos="4859" w:leader="none"/>
          <w:tab w:val="left" w:pos="5683" w:leader="none"/>
          <w:tab w:val="left" w:pos="6618" w:leader="none"/>
          <w:tab w:val="left" w:pos="8036" w:leader="none"/>
        </w:tabs>
        <w:spacing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t xml:space="preserve">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АННОТАЦИЯ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НА ВЫПУСКНУЮ КВАЛИФИКАЦИОННУЮ РАБОТУ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(БАКАЛАВРСКУЮ РАБОТУ)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ПО НАПРАВЛЕНИЮ ПОДГОТОВКИ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09.03.01 «Информатика и вычислительная техника»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left="-284" w:hanging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НАПРАВЛЕННОСТЬ (ПРОФИЛЬ) ОБРАЗОВАТЕЛЬНОЙ ПРОГРАММЫ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«Анализ данных и искусственный интеллект»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tbl>
      <w:tblPr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850"/>
        <w:gridCol w:w="273"/>
        <w:gridCol w:w="1004"/>
        <w:gridCol w:w="240"/>
        <w:gridCol w:w="4578"/>
        <w:gridCol w:w="262"/>
        <w:gridCol w:w="2115"/>
        <w:gridCol w:w="28"/>
      </w:tblGrid>
      <w:tr>
        <w:trPr/>
        <w:tc>
          <w:tcPr>
            <w:tcW w:w="850" w:type="dxa"/>
            <w:tcBorders/>
          </w:tcPr>
          <w:p>
            <w:pPr>
              <w:pStyle w:val="Normal"/>
              <w:widowControl w:val="false"/>
              <w:spacing w:before="0" w:after="0"/>
              <w:ind w:right="-107" w:hanging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273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82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;sans-serif;serif;EmojiFont" w:hAnsi="Calibri;sans-serif;serif;EmojiFont" w:eastAsia="Times New Roman" w:cs="Times New Roman"/>
                <w:b/>
                <w:b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Устранение разрыва в проверке обеспечения безопасности: обнаружение расхождений между заявленным и фактическим положением безопасности в контейнерных средах Kubernetes</w:t>
            </w:r>
          </w:p>
        </w:tc>
      </w:tr>
      <w:tr>
        <w:trPr/>
        <w:tc>
          <w:tcPr>
            <w:tcW w:w="9350" w:type="dxa"/>
            <w:gridSpan w:val="8"/>
            <w:tcBorders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</w:tr>
      <w:tr>
        <w:trPr/>
        <w:tc>
          <w:tcPr>
            <w:tcW w:w="2127" w:type="dxa"/>
            <w:gridSpan w:val="3"/>
            <w:tcBorders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Выполнил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40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   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Собех Йехия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62" w:type="dxa"/>
            <w:tcBorders>
              <w:left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b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color w:val="808080"/>
                <w:sz w:val="28"/>
                <w:szCs w:val="28"/>
                <w:vertAlign w:val="superscript"/>
              </w:rPr>
              <w:drawing>
                <wp:inline distT="0" distB="0" distL="0" distR="0">
                  <wp:extent cx="1143000" cy="437515"/>
                  <wp:effectExtent l="0" t="0" r="0" b="0"/>
                  <wp:docPr id="1" name="Sig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" w:type="dxa"/>
            <w:tcBorders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t>Иннополис, 2026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exact" w:line="360" w:before="240" w:after="120"/>
        <w:ind w:hanging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АННОТАЦИЯ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Актуальность темы исследования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Современные системы активно используют микросервисную архитектуру на Kubernetes. По данным CNCF, более 60% организаций применяют Kubernetes в промышленной среде. Масштабное внедрение порождает проблемы безопасности: увеличение поверхности атаки, сложные цепочки зависимостей и высокая динамика жизненного цикла контейнеров.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Kubernetes обеспечивает безопасность через декларативные примитивы в контексте безопасности пода: seccomp, capabilities, ограничения пользователя, изоляция пространств имён. Экосистема располагает инструментами валидации (OPA Gatekeeper, Kyverno, PSA, Kubescape, Trivy Operator).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Однако все инструменты основаны на критическом допущении: если API сообщает о свойстве безопасности, среда выполнения его обеспечила. Данная работа демонстрирует, что это допущение не выполняется для привилегированных контейнеров.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Постановка проблемы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Трансляция спецификации пода через kubelet, CRI и OCI в примитивы ядра может молчаливо изменять ограничения безопасности. Данный разрыв верификации обеспечения означает отсутствие инструментов проверки фактического применения деклараций.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Оператор, задающий seccompProfile.type: RuntimeDefault для привилегированного контейнера, полагает, что фильтрация активна. Однако Docker молчаливо удаляет фильтр seccomp из привилегированных контейнеров, и ни один существующий инструмент не обнаруживает этого.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Цель и задачи исследования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Цель — проектирование, реализация и оценка инструмента верификации обеспечения контекста безопасности Kubernetes средой выполнения, а также характеризация категорий расхождений.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Задачи: (1) обзор литературы для характеризации разрыва верификации; (2) проектирование двухуровневой архитектуры по семи измерениям безопасности; (3) разработка алгоритма нормализации capabilities; (4) реализация уровня абстракции для Docker и containerd; (5) развёртывание и оценка на семи тестовых подах и четырёх компонентах плоскости управления; (6) классификация категорий расхождений.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Объект и предмет исследования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Объектом исследования является цепочка обеспечения безопасности контейнеризированных рабочих нагрузок в Kubernetes — от API через среду выполнения до примитивов ядра Linux.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Предметом являются расхождения между декларированным и фактически обеспечиваемым состоянием безопасности, а также методы их обнаружения.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Научная новизна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Впервые идентифицирован разрыв верификации обеспечения в Kubernetes. Предложена двухуровневая архитектура с попольным сравнением API и среды выполнения по семи измерениям.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Продемонстрировано: (i) Docker удаляет seccomp из привилегированных контейнеров; (ii) docker inspect опускает неявные профили. Предложен алгоритм нормализации capabilities.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Методология исследования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Разработанный инструмент k8s-psa (Kubernetes Pod Security Auditor) развёртывается как DaemonSet Kubernetes, обеспечивая работу сканирующего пода на каждом узле кластера.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Инструмент реализует двухуровневую архитектуру. Уровень 1 оценивает спецификации подов по восьми политикам безопасности (привилегированный режим, root, пространства имён хоста, seccomp, capabilities, read-only rootfs), предоставляя функциональность контроллеров допуска.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Уровень 2 (ключевой вклад) строит для каждого контейнера SpecSecurityState и RuntimeSecurityState, сравнивая их по семи измерениям. Несоответствия классифицируются: CRITICAL, WARNING или INFO.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Уровень абстракции скрывает специфику Docker и containerd за единым интерфейсом RuntimeSecurityState.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Алгоритм нормализации вычисляет ожидаемые capabilities из 14 по умолчанию с учётом списков add/drop, устраняя ложноположительные результаты.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Экспериментальная среда и оценка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Все эксперименты проведены на одноузловом кластере Minikube (Ubuntu 22.04 LTS, Kubernetes v1.32.0, Docker Engine 27.4.1 через cri-dockerd). Данные собраны за три полных цикла сканирования с интервалом 60 секунд.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Спроектировано семь тестовых подов: (1) полностью защищённый (контроль); (2) без контекста безопасности; (3) привилегированный с seccomp (ключевой сценарий); (4) привилегированный без seccomp (контроль для пода 3); (5) частичные настройки; (6) запрет эскалации привилегий; (7) пространства имён хоста. Дополнительно использованы четыре компонента плоскости управления Kubernetes.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Основные результаты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оценки выявили три категории расхождений.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Первая категория — истинный разрыв обеспечения (CRITICAL).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Привилегированные контейнеры с seccompProfile.type: RuntimeDefault имеют фильтр seccomp молчаливо удалённым Docker. Под 3 продемонстрировал критическое расхождение: спецификация декларирует RuntimeDefault, среда выполнения — unconfined.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Вторая категория — инфляция capabilities (WARNING).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Привилегированный режим предоставляет все 41 capability (на 27 больше по умолчанию). Инструмент зафиксировал 27 предупреждений для каждого привилегированного контейнера.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Третья категория — разрыв наблюдаемости (ложноположительные CRITICAL).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Непривилегированные поды с RuntimeDefault выдали ложные расхождения: cri-dockerd полагается на неявный профиль Docker, который не отображается в docker inspect.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Контролируемое сравнение (Под 3 vs. Под 4)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Поды 3 и 4 имеют идентичное состояние среды выполнения; различие — декларация seccomp в поде 3. Детектор корректно выявляет расхождение только для пода 3.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Сравнение с существующими инструментами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Ни один существующий инструмент (Gatekeeper, Kyverno, Falco, Kubediff) не сопоставляет спецификацию со средой выполнения. k8s-psa занимает пустую нишу между ними.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Ограничения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Работа имеет ряд ограничений: (1) эксперименты выполнены только с Docker; в продуктивных кластерах, преимущественно использующих containerd, разрыв наблюдаемости seccomp может отсутствовать; (2) проверка seccomp основана на метаданных docker inspect, а не на статусе обеспечения на уровне ядра из /proc/&lt;pid&gt;/status; (3) использован одноузловой кластер, что не отражает полностью многоузловые продуктивные среды; (4) инструмент использует CLI-команды (kubectl, docker) вместо нативных API-клиентов; (5) семь тестовых подов покрывают основные измерения безопасности, но не исчерпывают все возможные конфигурации.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Практическая значимость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Комбинация privileged: true с RuntimeDefault создаёт ложное чувство безопасности. Инструменты аудита на основе API могут выдавать некорректные результаты; стандарты соответствия должны дополняться верификацией на уровне среды выполнения.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Вклад работы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Вклад: (1) инструмент k8s-psa; (2) доказательства удаления Docker профилей seccomp; (3) обнаружение разрыва наблюдаемости; (4) open-source фреймворк с 44 тестами и панелью мониторинга.</w:t>
      </w:r>
    </w:p>
    <w:p>
      <w:pPr>
        <w:pStyle w:val="Normal"/>
        <w:spacing w:lineRule="exact" w:line="360" w:before="200" w:after="100"/>
        <w:ind w:hanging="0"/>
        <w:jc w:val="left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>Направления дальнейших исследований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Три направления требуют дальнейшего изучения: расширение детектора верификацией через /proc/&lt;pid&gt;/status для устранения разрыва наблюдаемости; развёртывание на кластерах с containerd (kind, GKE, EKS) для сопоставления ландшафта верификации между средами выполнения; исследование того, создают ли мутирующие вебхуки допуска дополнительные разрывы обеспечения.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jc w:val="both"/>
        <w:rPr/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</w:rPr>
        <w:t xml:space="preserve">Ключевые слова: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Kubernetes, безопасность контейнеров, seccomp, верификация среды выполнения, дрейф обеспечения, DevSecOps, контекст безопасности, безопасность подов.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200" w:after="100"/>
        <w:ind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sectPr>
      <w:footerReference w:type="default" r:id="rId3"/>
      <w:type w:val="nextPage"/>
      <w:pgSz w:w="11906" w:h="16838"/>
      <w:pgMar w:left="1418" w:right="1134" w:gutter="0" w:header="0" w:top="1134" w:footer="567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libri">
    <w:altName w:val="sans-serif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fldChar w:fldCharType="begin"/>
    </w:r>
    <w:r>
      <w:rPr>
        <w:sz w:val="24"/>
        <w:szCs w:val="24"/>
        <w:rFonts w:cs="Times New Roman" w:ascii="Times New Roman" w:hAnsi="Times New Roman"/>
      </w:rPr>
      <w:instrText xml:space="preserve"> PAGE </w:instrText>
    </w:r>
    <w:r>
      <w:rPr>
        <w:sz w:val="24"/>
        <w:szCs w:val="24"/>
        <w:rFonts w:cs="Times New Roman" w:ascii="Times New Roman" w:hAnsi="Times New Roman"/>
      </w:rPr>
      <w:fldChar w:fldCharType="separate"/>
    </w:r>
    <w:r>
      <w:rPr>
        <w:sz w:val="24"/>
        <w:szCs w:val="24"/>
        <w:rFonts w:cs="Times New Roman" w:ascii="Times New Roman" w:hAnsi="Times New Roman"/>
      </w:rPr>
      <w:t>5</w:t>
    </w:r>
    <w:r>
      <w:rPr>
        <w:sz w:val="24"/>
        <w:szCs w:val="24"/>
        <w:rFonts w:cs="Times New Roman" w:ascii="Times New Roman" w:hAnsi="Times New Roman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02f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Application>LibreOffice/7.3.7.2$Linux_X86_64 LibreOffice_project/30$Build-2</Application>
  <AppVersion>15.0000</AppVersion>
  <Pages>5</Pages>
  <Words>855</Words>
  <Characters>6766</Characters>
  <CharactersWithSpaces>7578</CharactersWithSpaces>
  <Paragraphs>61</Paragraphs>
  <Company>Innopolis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2026-05-05T08:32:00Z</dcterms:created>
  <dc:creator>Эльвира Аброшина</dc:creator>
  <dc:description/>
  <dc:language>en-US</dc:language>
  <cp:lastModifiedBy/>
  <dcterms:modified xsi:type="dcterms:W3CDTF">2026-05-29T21:24:09Z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