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117C83"/>
          <w:sz w:val="36"/>
        </w:rPr>
        <w:t>QMCO</w:t>
      </w:r>
    </w:p>
    <w:p>
      <w:pPr>
        <w:pStyle w:val="Title"/>
        <w:spacing w:after="120"/>
      </w:pPr>
      <w:r>
        <w:t>Equity Research Update</w:t>
      </w:r>
    </w:p>
    <w:p>
      <w:pPr>
        <w:pStyle w:val="Subtitle"/>
        <w:spacing w:after="200"/>
      </w:pPr>
      <w:r>
        <w:t>Quantum Corporation (NASDAQ: QMCO) | Market-implied expectations, quality review and risks</w:t>
      </w:r>
    </w:p>
    <w:p>
      <w:pPr>
        <w:spacing w:after="160"/>
        <w:pBdr>
          <w:bottom w:val="single" w:sz="22" w:color="117C83" w:space="1"/>
        </w:pBdr>
      </w:pPr>
    </w:p>
    <w:p>
      <w:pPr>
        <w:spacing w:after="40"/>
      </w:pPr>
      <w:r>
        <w:rPr>
          <w:color w:val="556575"/>
          <w:sz w:val="18"/>
        </w:rPr>
        <w:t xml:space="preserve">Research date: October 12, 2026  |  Price reference: October 9, 2026 close, $30.43</w:t>
      </w:r>
    </w:p>
    <w:p>
      <w:pPr>
        <w:spacing w:after="40"/>
      </w:pPr>
      <w:r>
        <w:rPr>
          <w:color w:val="556575"/>
          <w:sz w:val="18"/>
        </w:rPr>
        <w:t xml:space="preserve">Fiscal year ends March 31. Q1 FY2027 = quarter ended June 30, 2026. Q2 FY2027 = quarter ended September 30, 2026.</w:t>
      </w:r>
    </w:p>
    <w:p>
      <w:pPr>
        <w:spacing w:after="40"/>
      </w:pPr>
      <w:r>
        <w:rPr>
          <w:color w:val="556575"/>
          <w:sz w:val="18"/>
        </w:rPr>
        <w:t xml:space="preserve">Prepared for: ______________________  (private client / family office)</w:t>
      </w:r>
    </w:p>
    <w:p>
      <w:pPr>
        <w:spacing w:after="40"/>
      </w:pPr>
      <w:r>
        <w:rPr>
          <w:color w:val="556575"/>
          <w:sz w:val="18"/>
        </w:rPr>
        <w:t xml:space="preserve">Prepared by: ______________________, Independent Advisor  |  Contact: ______________________</w:t>
      </w:r>
    </w:p>
    <w:p>
      <w:pPr>
        <w:spacing w:after="40"/>
      </w:pPr>
      <w:r>
        <w:rPr>
          <w:b/>
          <w:color w:val="556575"/>
          <w:sz w:val="18"/>
        </w:rPr>
        <w:t xml:space="preserve">CONFIDENTIAL. For the named recipient only. Not for redistribution.</w:t>
      </w:r>
    </w:p>
    <w:p>
      <w:pPr>
        <w:spacing w:after="0"/>
      </w:pPr>
    </w:p>
    <w:tbl>
      <w:tblPr>
        <w:tblW w:type="dxa" w:w="9936"/>
        <w:jc w:val="center"/>
        <w:tblLayout w:type="fixed"/>
        <w:tblLook w:firstColumn="1" w:firstRow="1" w:lastColumn="0" w:lastRow="0" w:noHBand="0" w:noVBand="1" w:val="04A0"/>
      </w:tblPr>
      <w:tblGrid>
        <w:gridCol w:w="9936"/>
      </w:tblGrid>
      <w:tr>
        <w:trPr>
          <w:cantSplit/>
        </w:trPr>
        <w:tc>
          <w:tcPr>
            <w:tcW w:type="dxa" w:w="9936"/>
            <w:shd w:val="clear" w:color="auto" w:fill="FBEDEA"/>
            <w:tcMar>
              <w:top w:w="140" w:type="dxa"/>
              <w:start w:w="180" w:type="dxa"/>
              <w:bottom w:w="140" w:type="dxa"/>
              <w:end w:w="180" w:type="dxa"/>
            </w:tcMar>
          </w:tcPr>
          <w:p>
            <w:pPr>
              <w:spacing w:after="40"/>
            </w:pPr>
            <w:r>
              <w:rPr>
                <w:b/>
                <w:color w:val="B23A3A"/>
                <w:sz w:val="20"/>
              </w:rPr>
              <w:t xml:space="preserve">Rating: SELL, short-term HOLD possible   |   Price target: Under Review   |   Price: $30.43</w:t>
            </w:r>
          </w:p>
          <w:p>
            <w:pPr>
              <w:spacing w:after="60" w:line="252" w:lineRule="auto"/>
            </w:pPr>
            <w:r>
              <w:rPr>
                <w:sz w:val="18"/>
              </w:rPr>
              <w:t xml:space="preserve">Short-term holders: a HOLD is possible with a written exit rule, but in my view the risk is high compared with the reward. New money: not a buy at this price.</w:t>
            </w:r>
          </w:p>
          <w:p>
            <w:pPr>
              <w:spacing w:after="60" w:line="252" w:lineRule="auto"/>
            </w:pPr>
            <w:r>
              <w:rPr>
                <w:sz w:val="18"/>
              </w:rPr>
              <w:t xml:space="preserve">Scenario values per share: bear ~$5, base ~$10, bull ~$22, blue sky ~$45. Competitor multiples imply ~$10 to ~$25. These are reference points, not a price target.</w:t>
            </w:r>
          </w:p>
          <w:p>
            <w:pPr>
              <w:spacing w:after="60" w:line="252" w:lineRule="auto"/>
            </w:pPr>
            <w:r>
              <w:rPr>
                <w:sz w:val="18"/>
              </w:rPr>
              <w:t xml:space="preserve">Why: the price already assumes years of fast growth, with margins rising to competitor levels. In 16 months: eight senior leadership changes, heavy dilution, two restatements, weak controls and a pending lawsuit. Rivals are far larger. Even with the debt gone, I would sell.</w:t>
            </w:r>
          </w:p>
          <w:p>
            <w:pPr>
              <w:spacing w:after="0" w:line="252" w:lineRule="auto"/>
            </w:pPr>
            <w:r>
              <w:rPr>
                <w:sz w:val="18"/>
              </w:rPr>
              <w:t xml:space="preserve">The price target stays Under Review until the next two quarterly reports and updated company guidance.</w:t>
            </w:r>
          </w:p>
        </w:tc>
      </w:tr>
    </w:tbl>
    <w:p>
      <w:pPr>
        <w:spacing w:after="0"/>
      </w:pPr>
    </w:p>
    <w:p>
      <w:pPr>
        <w:pStyle w:val="Heading2"/>
      </w:pPr>
      <w:r>
        <w:t xml:space="preserve">Key facts</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300"/>
        <w:gridCol w:w="5136"/>
        <w:gridCol w:w="1500"/>
      </w:tblGrid>
      <w:tr>
        <w:trPr>
          <w:tblHeader/>
          <w:cantSplit/>
        </w:trPr>
        <w:tc>
          <w:tcPr>
            <w:tcW w:type="dxa" w:w="3300"/>
            <w:shd w:val="clear" w:color="auto" w:fill="12304A"/>
            <w:tcMar>
              <w:top w:w="80" w:type="dxa"/>
              <w:start w:w="90" w:type="dxa"/>
              <w:bottom w:w="80" w:type="dxa"/>
              <w:end w:w="90" w:type="dxa"/>
            </w:tcMar>
            <w:vAlign w:val="center"/>
          </w:tcPr>
          <w:p>
            <w:pPr>
              <w:spacing w:after="0" w:line="240" w:lineRule="auto"/>
            </w:pPr>
            <w:r>
              <w:rPr>
                <w:b/>
                <w:color w:val="FFFFFF"/>
                <w:sz w:val="16"/>
              </w:rPr>
              <w:t xml:space="preserve">Item</w:t>
            </w:r>
          </w:p>
        </w:tc>
        <w:tc>
          <w:tcPr>
            <w:tcW w:type="dxa" w:w="5136"/>
            <w:shd w:val="clear" w:color="auto" w:fill="12304A"/>
            <w:tcMar>
              <w:top w:w="80" w:type="dxa"/>
              <w:start w:w="90" w:type="dxa"/>
              <w:bottom w:w="80" w:type="dxa"/>
              <w:end w:w="90" w:type="dxa"/>
            </w:tcMar>
            <w:vAlign w:val="center"/>
          </w:tcPr>
          <w:p>
            <w:pPr>
              <w:spacing w:after="0" w:line="240" w:lineRule="auto"/>
            </w:pPr>
            <w:r>
              <w:rPr>
                <w:b/>
                <w:color w:val="FFFFFF"/>
                <w:sz w:val="16"/>
              </w:rPr>
              <w:t xml:space="preserve">Figure</w:t>
            </w:r>
          </w:p>
        </w:tc>
        <w:tc>
          <w:tcPr>
            <w:tcW w:type="dxa" w:w="1500"/>
            <w:shd w:val="clear" w:color="auto" w:fill="12304A"/>
            <w:tcMar>
              <w:top w:w="80" w:type="dxa"/>
              <w:start w:w="90" w:type="dxa"/>
              <w:bottom w:w="80" w:type="dxa"/>
              <w:end w:w="90" w:type="dxa"/>
            </w:tcMar>
            <w:vAlign w:val="center"/>
          </w:tcPr>
          <w:p>
            <w:pPr>
              <w:spacing w:after="0" w:line="240" w:lineRule="auto"/>
            </w:pPr>
            <w:r>
              <w:rPr>
                <w:b/>
                <w:color w:val="FFFFFF"/>
                <w:sz w:val="16"/>
              </w:rPr>
              <w:t xml:space="preserve">Source</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Share price / market cap</w:t>
            </w:r>
          </w:p>
        </w:tc>
        <w:tc>
          <w:tcPr>
            <w:tcW w:type="dxa" w:w="5136"/>
            <w:tcMar>
              <w:top w:w="80" w:type="dxa"/>
              <w:start w:w="90" w:type="dxa"/>
              <w:bottom w:w="80" w:type="dxa"/>
              <w:end w:w="90" w:type="dxa"/>
            </w:tcMar>
            <w:vAlign w:val="center"/>
          </w:tcPr>
          <w:p>
            <w:pPr>
              <w:spacing w:after="0" w:line="240" w:lineRule="auto"/>
            </w:pPr>
            <w:r>
              <w:rPr>
                <w:color w:val="182633"/>
                <w:sz w:val="16"/>
              </w:rPr>
              <w:t xml:space="preserve">$30.43 / ~$1.20B (39.41M shares, up from 6.96M in Mar. 2025)</w:t>
            </w:r>
          </w:p>
        </w:tc>
        <w:tc>
          <w:tcPr>
            <w:tcW w:type="dxa" w:w="1500"/>
            <w:tcMar>
              <w:top w:w="80" w:type="dxa"/>
              <w:start w:w="90" w:type="dxa"/>
              <w:bottom w:w="80" w:type="dxa"/>
              <w:end w:w="90" w:type="dxa"/>
            </w:tcMar>
            <w:vAlign w:val="center"/>
          </w:tcPr>
          <w:p>
            <w:pPr>
              <w:spacing w:after="0" w:line="240" w:lineRule="auto"/>
            </w:pPr>
            <w:r>
              <w:rPr>
                <w:color w:val="182633"/>
                <w:sz w:val="16"/>
              </w:rPr>
              <w:t xml:space="preserve">[2][23][33]</w:t>
            </w:r>
          </w:p>
        </w:tc>
      </w:tr>
      <w:tr>
        <w:trPr>
          <w:cantSplit/>
        </w:trPr>
        <w:tc>
          <w:tcPr>
            <w:tcW w:type="dxa" w:w="3300"/>
            <w:shd w:val="clear" w:color="auto" w:fill="F5F7F9"/>
            <w:tcMar>
              <w:top w:w="80" w:type="dxa"/>
              <w:start w:w="90" w:type="dxa"/>
              <w:bottom w:w="80" w:type="dxa"/>
              <w:end w:w="90" w:type="dxa"/>
            </w:tcMar>
            <w:vAlign w:val="center"/>
          </w:tcPr>
          <w:p>
            <w:pPr>
              <w:spacing w:after="0" w:line="240" w:lineRule="auto"/>
            </w:pPr>
            <w:r>
              <w:rPr>
                <w:b/>
                <w:color w:val="12304A"/>
                <w:sz w:val="16"/>
              </w:rPr>
              <w:t xml:space="preserve">Enterprise value</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~$1.153B basic; ~$1.22B incl. in-the-money warrants</w:t>
            </w:r>
          </w:p>
        </w:tc>
        <w:tc>
          <w:tcPr>
            <w:tcW w:type="dxa" w:w="1500"/>
            <w:shd w:val="clear" w:color="auto" w:fill="F5F7F9"/>
            <w:tcMar>
              <w:top w:w="80" w:type="dxa"/>
              <w:start w:w="90" w:type="dxa"/>
              <w:bottom w:w="80" w:type="dxa"/>
              <w:end w:w="90" w:type="dxa"/>
            </w:tcMar>
            <w:vAlign w:val="center"/>
          </w:tcPr>
          <w:p>
            <w:pPr>
              <w:spacing w:after="0" w:line="240" w:lineRule="auto"/>
            </w:pPr>
            <w:r>
              <w:rPr>
                <w:color w:val="182633"/>
                <w:sz w:val="16"/>
              </w:rPr>
              <w:t xml:space="preserve">[23]; author calc.</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52-week range / year to date</w:t>
            </w:r>
          </w:p>
        </w:tc>
        <w:tc>
          <w:tcPr>
            <w:tcW w:type="dxa" w:w="5136"/>
            <w:tcMar>
              <w:top w:w="80" w:type="dxa"/>
              <w:start w:w="90" w:type="dxa"/>
              <w:bottom w:w="80" w:type="dxa"/>
              <w:end w:w="90" w:type="dxa"/>
            </w:tcMar>
            <w:vAlign w:val="center"/>
          </w:tcPr>
          <w:p>
            <w:pPr>
              <w:spacing w:after="0" w:line="240" w:lineRule="auto"/>
            </w:pPr>
            <w:r>
              <w:rPr>
                <w:color w:val="182633"/>
                <w:sz w:val="16"/>
              </w:rPr>
              <w:t xml:space="preserve">$4.19 - $35.65 / ~+372%</w:t>
            </w:r>
          </w:p>
        </w:tc>
        <w:tc>
          <w:tcPr>
            <w:tcW w:type="dxa" w:w="1500"/>
            <w:tcMar>
              <w:top w:w="80" w:type="dxa"/>
              <w:start w:w="90" w:type="dxa"/>
              <w:bottom w:w="80" w:type="dxa"/>
              <w:end w:w="90" w:type="dxa"/>
            </w:tcMar>
            <w:vAlign w:val="center"/>
          </w:tcPr>
          <w:p>
            <w:pPr>
              <w:spacing w:after="0" w:line="240" w:lineRule="auto"/>
            </w:pPr>
            <w:r>
              <w:rPr>
                <w:color w:val="182633"/>
                <w:sz w:val="16"/>
              </w:rPr>
              <w:t xml:space="preserve">[24][42]</w:t>
            </w:r>
          </w:p>
        </w:tc>
      </w:tr>
      <w:tr>
        <w:trPr>
          <w:cantSplit/>
        </w:trPr>
        <w:tc>
          <w:tcPr>
            <w:tcW w:type="dxa" w:w="3300"/>
            <w:shd w:val="clear" w:color="auto" w:fill="F5F7F9"/>
            <w:tcMar>
              <w:top w:w="80" w:type="dxa"/>
              <w:start w:w="90" w:type="dxa"/>
              <w:bottom w:w="80" w:type="dxa"/>
              <w:end w:w="90" w:type="dxa"/>
            </w:tcMar>
            <w:vAlign w:val="center"/>
          </w:tcPr>
          <w:p>
            <w:pPr>
              <w:spacing w:after="0" w:line="240" w:lineRule="auto"/>
            </w:pPr>
            <w:r>
              <w:rPr>
                <w:b/>
                <w:color w:val="12304A"/>
                <w:sz w:val="16"/>
              </w:rPr>
              <w:t xml:space="preserve">Q1 FY2027 revenue</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$80.8M, +26% YoY (guided $75M ± $2M)</w:t>
            </w:r>
          </w:p>
        </w:tc>
        <w:tc>
          <w:tcPr>
            <w:tcW w:type="dxa" w:w="1500"/>
            <w:shd w:val="clear" w:color="auto" w:fill="F5F7F9"/>
            <w:tcMar>
              <w:top w:w="80" w:type="dxa"/>
              <w:start w:w="90" w:type="dxa"/>
              <w:bottom w:w="80" w:type="dxa"/>
              <w:end w:w="90" w:type="dxa"/>
            </w:tcMar>
            <w:vAlign w:val="center"/>
          </w:tcPr>
          <w:p>
            <w:pPr>
              <w:spacing w:after="0" w:line="240" w:lineRule="auto"/>
            </w:pPr>
            <w:r>
              <w:rPr>
                <w:color w:val="182633"/>
                <w:sz w:val="16"/>
              </w:rPr>
              <w:t xml:space="preserve">[1][6]</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Q1 GAAP operating income / adj. EBITDA</w:t>
            </w:r>
          </w:p>
        </w:tc>
        <w:tc>
          <w:tcPr>
            <w:tcW w:type="dxa" w:w="5136"/>
            <w:tcMar>
              <w:top w:w="80" w:type="dxa"/>
              <w:start w:w="90" w:type="dxa"/>
              <w:bottom w:w="80" w:type="dxa"/>
              <w:end w:w="90" w:type="dxa"/>
            </w:tcMar>
            <w:vAlign w:val="center"/>
          </w:tcPr>
          <w:p>
            <w:pPr>
              <w:spacing w:after="0" w:line="240" w:lineRule="auto"/>
            </w:pPr>
            <w:r>
              <w:rPr>
                <w:color w:val="182633"/>
                <w:sz w:val="16"/>
              </w:rPr>
              <w:t xml:space="preserve">$5.0M / $8.0M (adj. EBITDA guided $1.5M ± $1M)</w:t>
            </w:r>
          </w:p>
        </w:tc>
        <w:tc>
          <w:tcPr>
            <w:tcW w:type="dxa" w:w="1500"/>
            <w:tcMar>
              <w:top w:w="80" w:type="dxa"/>
              <w:start w:w="90" w:type="dxa"/>
              <w:bottom w:w="80" w:type="dxa"/>
              <w:end w:w="90" w:type="dxa"/>
            </w:tcMar>
            <w:vAlign w:val="center"/>
          </w:tcPr>
          <w:p>
            <w:pPr>
              <w:spacing w:after="0" w:line="240" w:lineRule="auto"/>
            </w:pPr>
            <w:r>
              <w:rPr>
                <w:color w:val="182633"/>
                <w:sz w:val="16"/>
              </w:rPr>
              <w:t xml:space="preserve">[1][6]</w:t>
            </w:r>
          </w:p>
        </w:tc>
      </w:tr>
      <w:tr>
        <w:trPr>
          <w:cantSplit/>
        </w:trPr>
        <w:tc>
          <w:tcPr>
            <w:tcW w:type="dxa" w:w="3300"/>
            <w:shd w:val="clear" w:color="auto" w:fill="F5F7F9"/>
            <w:tcMar>
              <w:top w:w="80" w:type="dxa"/>
              <w:start w:w="90" w:type="dxa"/>
              <w:bottom w:w="80" w:type="dxa"/>
              <w:end w:w="90" w:type="dxa"/>
            </w:tcMar>
            <w:vAlign w:val="center"/>
          </w:tcPr>
          <w:p>
            <w:pPr>
              <w:spacing w:after="0" w:line="240" w:lineRule="auto"/>
            </w:pPr>
            <w:r>
              <w:rPr>
                <w:b/>
                <w:color w:val="12304A"/>
                <w:sz w:val="16"/>
              </w:rPr>
              <w:t xml:space="preserve">Q1 operating cash flow / capex</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$0.9M / $0.4M</w:t>
            </w:r>
          </w:p>
        </w:tc>
        <w:tc>
          <w:tcPr>
            <w:tcW w:type="dxa" w:w="1500"/>
            <w:shd w:val="clear" w:color="auto" w:fill="F5F7F9"/>
            <w:tcMar>
              <w:top w:w="80" w:type="dxa"/>
              <w:start w:w="90" w:type="dxa"/>
              <w:bottom w:w="80" w:type="dxa"/>
              <w:end w:w="90" w:type="dxa"/>
            </w:tcMar>
            <w:vAlign w:val="center"/>
          </w:tcPr>
          <w:p>
            <w:pPr>
              <w:spacing w:after="0" w:line="240" w:lineRule="auto"/>
            </w:pPr>
            <w:r>
              <w:rPr>
                <w:color w:val="182633"/>
                <w:sz w:val="16"/>
              </w:rPr>
              <w:t xml:space="preserve">[2]</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Cash and restricted cash / debt (Jun. 30, 2026)</w:t>
            </w:r>
          </w:p>
        </w:tc>
        <w:tc>
          <w:tcPr>
            <w:tcW w:type="dxa" w:w="5136"/>
            <w:tcMar>
              <w:top w:w="80" w:type="dxa"/>
              <w:start w:w="90" w:type="dxa"/>
              <w:bottom w:w="80" w:type="dxa"/>
              <w:end w:w="90" w:type="dxa"/>
            </w:tcMar>
            <w:vAlign w:val="center"/>
          </w:tcPr>
          <w:p>
            <w:pPr>
              <w:spacing w:after="0" w:line="240" w:lineRule="auto"/>
            </w:pPr>
            <w:r>
              <w:rPr>
                <w:color w:val="182633"/>
                <w:sz w:val="16"/>
              </w:rPr>
              <w:t xml:space="preserve">$54.6M / $0. No credit line since Aug. 2025</w:t>
            </w:r>
          </w:p>
        </w:tc>
        <w:tc>
          <w:tcPr>
            <w:tcW w:type="dxa" w:w="1500"/>
            <w:tcMar>
              <w:top w:w="80" w:type="dxa"/>
              <w:start w:w="90" w:type="dxa"/>
              <w:bottom w:w="80" w:type="dxa"/>
              <w:end w:w="90" w:type="dxa"/>
            </w:tcMar>
            <w:vAlign w:val="center"/>
          </w:tcPr>
          <w:p>
            <w:pPr>
              <w:spacing w:after="0" w:line="240" w:lineRule="auto"/>
            </w:pPr>
            <w:r>
              <w:rPr>
                <w:color w:val="182633"/>
                <w:sz w:val="16"/>
              </w:rPr>
              <w:t xml:space="preserve">[2]</w:t>
            </w:r>
          </w:p>
        </w:tc>
      </w:tr>
      <w:tr>
        <w:trPr>
          <w:cantSplit/>
        </w:trPr>
        <w:tc>
          <w:tcPr>
            <w:tcW w:type="dxa" w:w="3300"/>
            <w:shd w:val="clear" w:color="auto" w:fill="F5F7F9"/>
            <w:tcMar>
              <w:top w:w="80" w:type="dxa"/>
              <w:start w:w="90" w:type="dxa"/>
              <w:bottom w:w="80" w:type="dxa"/>
              <w:end w:w="90" w:type="dxa"/>
            </w:tcMar>
            <w:vAlign w:val="center"/>
          </w:tcPr>
          <w:p>
            <w:pPr>
              <w:spacing w:after="0" w:line="240" w:lineRule="auto"/>
            </w:pPr>
            <w:r>
              <w:rPr>
                <w:b/>
                <w:color w:val="12304A"/>
                <w:sz w:val="16"/>
              </w:rPr>
              <w:t xml:space="preserve">Float / avg. daily volume</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31.66M shares reported (~25.3M excluding Dialectic’s 14.1M) / ~1.86M shares a day (20-day, Oct. 5)</w:t>
            </w:r>
          </w:p>
        </w:tc>
        <w:tc>
          <w:tcPr>
            <w:tcW w:type="dxa" w:w="1500"/>
            <w:shd w:val="clear" w:color="auto" w:fill="F5F7F9"/>
            <w:tcMar>
              <w:top w:w="80" w:type="dxa"/>
              <w:start w:w="90" w:type="dxa"/>
              <w:bottom w:w="80" w:type="dxa"/>
              <w:end w:w="90" w:type="dxa"/>
            </w:tcMar>
            <w:vAlign w:val="center"/>
          </w:tcPr>
          <w:p>
            <w:pPr>
              <w:spacing w:after="0" w:line="240" w:lineRule="auto"/>
            </w:pPr>
            <w:r>
              <w:rPr>
                <w:color w:val="182633"/>
                <w:sz w:val="16"/>
              </w:rPr>
              <w:t xml:space="preserve">[18][35]; author calc.</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Short interest</w:t>
            </w:r>
          </w:p>
        </w:tc>
        <w:tc>
          <w:tcPr>
            <w:tcW w:type="dxa" w:w="5136"/>
            <w:tcMar>
              <w:top w:w="80" w:type="dxa"/>
              <w:start w:w="90" w:type="dxa"/>
              <w:bottom w:w="80" w:type="dxa"/>
              <w:end w:w="90" w:type="dxa"/>
            </w:tcMar>
            <w:vAlign w:val="center"/>
          </w:tcPr>
          <w:p>
            <w:pPr>
              <w:spacing w:after="0" w:line="240" w:lineRule="auto"/>
            </w:pPr>
            <w:r>
              <w:rPr>
                <w:color w:val="182633"/>
                <w:sz w:val="16"/>
              </w:rPr>
              <w:t xml:space="preserve">~3.12M shares (Sep. 30); ~9.9% of reported float, ~12% excluding Dialectic; ~1.7 days of average volume</w:t>
            </w:r>
          </w:p>
        </w:tc>
        <w:tc>
          <w:tcPr>
            <w:tcW w:type="dxa" w:w="1500"/>
            <w:tcMar>
              <w:top w:w="80" w:type="dxa"/>
              <w:start w:w="90" w:type="dxa"/>
              <w:bottom w:w="80" w:type="dxa"/>
              <w:end w:w="90" w:type="dxa"/>
            </w:tcMar>
            <w:vAlign w:val="center"/>
          </w:tcPr>
          <w:p>
            <w:pPr>
              <w:spacing w:after="0" w:line="240" w:lineRule="auto"/>
            </w:pPr>
            <w:r>
              <w:rPr>
                <w:color w:val="182633"/>
                <w:sz w:val="16"/>
              </w:rPr>
              <w:t xml:space="preserve">[27][35]; author calc.</w:t>
            </w:r>
          </w:p>
        </w:tc>
      </w:tr>
      <w:tr>
        <w:trPr>
          <w:cantSplit/>
        </w:trPr>
        <w:tc>
          <w:tcPr>
            <w:tcW w:type="dxa" w:w="3300"/>
            <w:shd w:val="clear" w:color="auto" w:fill="F5F7F9"/>
            <w:tcMar>
              <w:top w:w="80" w:type="dxa"/>
              <w:start w:w="90" w:type="dxa"/>
              <w:bottom w:w="80" w:type="dxa"/>
              <w:end w:w="90" w:type="dxa"/>
            </w:tcMar>
            <w:vAlign w:val="center"/>
          </w:tcPr>
          <w:p>
            <w:pPr>
              <w:spacing w:after="0" w:line="240" w:lineRule="auto"/>
            </w:pPr>
            <w:r>
              <w:rPr>
                <w:b/>
                <w:color w:val="12304A"/>
                <w:sz w:val="16"/>
              </w:rPr>
              <w:t xml:space="preserve">Q2 FY2027 guidance</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Revenue $82M ± $2M; adj. EBITDA $6M ± $1M; non-GAAP EPS $0.12 ± $0.10. On Oct. 9 the company said it expects to meet or exceed.</w:t>
            </w:r>
          </w:p>
        </w:tc>
        <w:tc>
          <w:tcPr>
            <w:tcW w:type="dxa" w:w="1500"/>
            <w:shd w:val="clear" w:color="auto" w:fill="F5F7F9"/>
            <w:tcMar>
              <w:top w:w="80" w:type="dxa"/>
              <w:start w:w="90" w:type="dxa"/>
              <w:bottom w:w="80" w:type="dxa"/>
              <w:end w:w="90" w:type="dxa"/>
            </w:tcMar>
            <w:vAlign w:val="center"/>
          </w:tcPr>
          <w:p>
            <w:pPr>
              <w:spacing w:after="0" w:line="240" w:lineRule="auto"/>
            </w:pPr>
            <w:r>
              <w:rPr>
                <w:color w:val="182633"/>
                <w:sz w:val="16"/>
              </w:rPr>
              <w:t xml:space="preserve">[4][5]</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Analyst price targets</w:t>
            </w:r>
          </w:p>
        </w:tc>
        <w:tc>
          <w:tcPr>
            <w:tcW w:type="dxa" w:w="5136"/>
            <w:tcMar>
              <w:top w:w="80" w:type="dxa"/>
              <w:start w:w="90" w:type="dxa"/>
              <w:bottom w:w="80" w:type="dxa"/>
              <w:end w:w="90" w:type="dxa"/>
            </w:tcMar>
            <w:vAlign w:val="center"/>
          </w:tcPr>
          <w:p>
            <w:pPr>
              <w:spacing w:after="0" w:line="240" w:lineRule="auto"/>
            </w:pPr>
            <w:r>
              <w:rPr>
                <w:color w:val="182633"/>
                <w:sz w:val="16"/>
              </w:rPr>
              <w:t xml:space="preserve">$24 - $29 (two targets); average $26.50. All below the price. Lake Street ($24) was also a placement agent on the June share sale.</w:t>
            </w:r>
          </w:p>
        </w:tc>
        <w:tc>
          <w:tcPr>
            <w:tcW w:type="dxa" w:w="1500"/>
            <w:tcMar>
              <w:top w:w="80" w:type="dxa"/>
              <w:start w:w="90" w:type="dxa"/>
              <w:bottom w:w="80" w:type="dxa"/>
              <w:end w:w="90" w:type="dxa"/>
            </w:tcMar>
            <w:vAlign w:val="center"/>
          </w:tcPr>
          <w:p>
            <w:pPr>
              <w:spacing w:after="0" w:line="240" w:lineRule="auto"/>
            </w:pPr>
            <w:r>
              <w:rPr>
                <w:color w:val="182633"/>
                <w:sz w:val="16"/>
              </w:rPr>
              <w:t xml:space="preserve">[8][24][25]</w:t>
            </w:r>
          </w:p>
        </w:tc>
      </w:tr>
    </w:tbl>
    <w:p>
      <w:pPr>
        <w:spacing w:after="0"/>
      </w:pPr>
    </w:p>
    <w:p>
      <w:pPr>
        <w:pStyle w:val="Heading1"/>
      </w:pPr>
      <w:r>
        <w:t xml:space="preserve">1. Investment summary</w:t>
      </w:r>
    </w:p>
    <w:p>
      <w:pPr>
        <w:pStyle w:val="ListBullet"/>
        <w:spacing w:after="40" w:line="247" w:lineRule="auto"/>
        <w:ind w:left="317" w:hanging="173"/>
      </w:pPr>
      <w:r>
        <w:rPr>
          <w:b/>
        </w:rPr>
        <w:t xml:space="preserve">The price is too high.</w:t>
      </w:r>
      <w:r>
        <w:t xml:space="preserve"> Even if margins rise to the level of Quantum’s main competitors (median ~14%), the price needs fast growth for ten years: about 16% to 29% a year. Quantum has not shown that kind of growth in the history reviewed [6][7][35].</w:t>
      </w:r>
    </w:p>
    <w:p>
      <w:pPr>
        <w:pStyle w:val="ListBullet"/>
        <w:spacing w:after="40" w:line="247" w:lineRule="auto"/>
        <w:ind w:left="317" w:hanging="173"/>
      </w:pPr>
      <w:r>
        <w:rPr>
          <w:b/>
        </w:rPr>
        <w:t xml:space="preserve">Competitor multiples point lower too.</w:t>
      </w:r>
      <w:r>
        <w:t xml:space="preserve"> At competitor median multiples, Quantum would be worth about $10 to $25 a share. It trades at about 57 times consensus forward earnings (63x to 75x on run-rate earnings), versus a competitor median of about 19 times [1][24][35].</w:t>
      </w:r>
    </w:p>
    <w:p>
      <w:pPr>
        <w:pStyle w:val="ListBullet"/>
        <w:spacing w:after="40" w:line="247" w:lineRule="auto"/>
        <w:ind w:left="317" w:hanging="173"/>
      </w:pPr>
      <w:r>
        <w:rPr>
          <w:b/>
        </w:rPr>
        <w:t xml:space="preserve">Results improved, but it is early.</w:t>
      </w:r>
      <w:r>
        <w:t xml:space="preserve"> Q1 revenue rose 26% YoY and beat guidance. GAAP operating income was $5.0M versus a $12.6M loss. But growth starts from a weak base: the Q2 guide is only ~14% above two years ago [1][34].</w:t>
      </w:r>
    </w:p>
    <w:p>
      <w:pPr>
        <w:pStyle w:val="ListBullet"/>
        <w:spacing w:after="40" w:line="247" w:lineRule="auto"/>
        <w:ind w:left="317" w:hanging="173"/>
      </w:pPr>
      <w:r>
        <w:rPr>
          <w:b/>
        </w:rPr>
        <w:t xml:space="preserve">Shareholders paid for the repair.</w:t>
      </w:r>
      <w:r>
        <w:t xml:space="preserve"> Debt went to zero, but the share count rose ~5.7x in 15 months, from 6.96M to 39.38M [2][33].</w:t>
      </w:r>
    </w:p>
    <w:p>
      <w:pPr>
        <w:pStyle w:val="ListBullet"/>
        <w:spacing w:after="40" w:line="247" w:lineRule="auto"/>
        <w:ind w:left="317" w:hanging="173"/>
      </w:pPr>
      <w:r>
        <w:rPr>
          <w:b/>
        </w:rPr>
        <w:t xml:space="preserve">Competition is much bigger.</w:t>
      </w:r>
      <w:r>
        <w:t xml:space="preserve"> Dell, HPE, IBM and NetApp have 25 to 511 times Quantum’s revenue. IBM is also the main tape-drive supplier, and supply was flat for months as of August [3][5][35].</w:t>
      </w:r>
    </w:p>
    <w:p>
      <w:pPr>
        <w:pStyle w:val="ListBullet"/>
        <w:spacing w:after="40" w:line="247" w:lineRule="auto"/>
        <w:ind w:left="317" w:hanging="173"/>
      </w:pPr>
      <w:r>
        <w:rPr>
          <w:b/>
        </w:rPr>
        <w:t xml:space="preserve">Too many changes, and trust is not yet earned.</w:t>
      </w:r>
      <w:r>
        <w:t xml:space="preserve"> Eight senior leadership changes in 16 months, including three in the finance chief role. Controls not effective in three straight reports. Two restatements. A pending securities class action [2][3][4].</w:t>
      </w:r>
    </w:p>
    <w:p>
      <w:pPr>
        <w:pStyle w:val="ListBullet"/>
        <w:spacing w:after="40" w:line="247" w:lineRule="auto"/>
        <w:ind w:left="317" w:hanging="173"/>
      </w:pPr>
      <w:r>
        <w:rPr>
          <w:b/>
        </w:rPr>
        <w:t xml:space="preserve">The team needs to prove it.</w:t>
      </w:r>
      <w:r>
        <w:t xml:space="preserve"> The new management is promising. It should show several quarters of steady results, positive cash flow and fixed controls before the stock deserves this price.</w:t>
      </w:r>
    </w:p>
    <w:p>
      <w:pPr>
        <w:pStyle w:val="ListBullet"/>
        <w:spacing w:after="40" w:line="247" w:lineRule="auto"/>
        <w:ind w:left="317" w:hanging="173"/>
      </w:pPr>
      <w:r>
        <w:rPr>
          <w:b/>
        </w:rPr>
        <w:t xml:space="preserve">Why a short-term HOLD is possible.</w:t>
      </w:r>
      <w:r>
        <w:t xml:space="preserve"> Much is changing at once. Q2 results (expected around Nov. 12), a permanent CFO and progress on controls will show more. Existing holders who accept high risk can wait for them with a written exit rule [4].</w:t>
      </w:r>
    </w:p>
    <w:p xmlns:a="http://schemas.openxmlformats.org/drawingml/2006/main" xmlns:pic="http://schemas.openxmlformats.org/drawingml/2006/picture">
      <w:pPr>
        <w:keepNext/>
        <w:spacing w:before="160" w:after="60"/>
        <w:jc w:val="center"/>
      </w:pPr>
      <w:r>
        <w:drawing>
          <wp:inline distT="0" distB="0" distL="0" distR="0">
            <wp:extent cx="6035040" cy="3012805"/>
            <wp:effectExtent l="0" t="0" r="0" b="0"/>
            <wp:docPr id="901" name="Figure 1" descr="Line chart of the QMCO share price from January 2025 to October 2026, with bear, base, bull and blue-sky scenario values per share."/>
            <wp:cNvGraphicFramePr>
              <a:graphicFrameLocks noChangeAspect="1"/>
            </wp:cNvGraphicFramePr>
            <a:graphic>
              <a:graphicData uri="http://schemas.openxmlformats.org/drawingml/2006/picture">
                <pic:pic>
                  <pic:nvPicPr>
                    <pic:cNvPr id="901" name="qmco_fig1.png"/>
                    <pic:cNvPicPr/>
                  </pic:nvPicPr>
                  <pic:blipFill>
                    <a:blip r:embed="rId200"/>
                    <a:stretch>
                      <a:fillRect/>
                    </a:stretch>
                  </pic:blipFill>
                  <pic:spPr>
                    <a:xfrm>
                      <a:off x="0" y="0"/>
                      <a:ext cx="6035040" cy="3012805"/>
                    </a:xfrm>
                    <a:prstGeom prst="rect">
                      <a:avLst/>
                    </a:prstGeom>
                  </pic:spPr>
                </pic:pic>
              </a:graphicData>
            </a:graphic>
          </wp:inline>
        </w:drawing>
      </w:r>
    </w:p>
    <w:p>
      <w:pPr>
        <w:pStyle w:val="SmallNote"/>
      </w:pPr>
      <w:r>
        <w:t xml:space="preserve">Figure 1. Share price (month-end close; the last point is the Oct. 9, 2026 close) and scenario values per share from section 3. Scenario values are not a price target. Sources: [42][43]; author’s model.</w:t>
      </w:r>
    </w:p>
    <w:p>
      <w:pPr>
        <w:pStyle w:val="Heading2"/>
      </w:pPr>
      <w:r>
        <w:t xml:space="preserve">Pros and cons</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4968"/>
        <w:gridCol w:w="4968"/>
      </w:tblGrid>
      <w:tr>
        <w:trPr>
          <w:tblHeader/>
          <w:cantSplit/>
        </w:trPr>
        <w:tc>
          <w:tcPr>
            <w:tcW w:type="dxa" w:w="4968"/>
            <w:shd w:val="clear" w:color="auto" w:fill="12304A"/>
            <w:tcMar>
              <w:top w:w="80" w:type="dxa"/>
              <w:start w:w="90" w:type="dxa"/>
              <w:bottom w:w="80" w:type="dxa"/>
              <w:end w:w="90" w:type="dxa"/>
            </w:tcMar>
            <w:vAlign w:val="center"/>
          </w:tcPr>
          <w:p>
            <w:pPr>
              <w:spacing w:after="0" w:line="240" w:lineRule="auto"/>
            </w:pPr>
            <w:r>
              <w:rPr>
                <w:b/>
                <w:color w:val="FFFFFF"/>
                <w:sz w:val="16"/>
              </w:rPr>
              <w:t xml:space="preserve">Pros</w:t>
            </w:r>
          </w:p>
        </w:tc>
        <w:tc>
          <w:tcPr>
            <w:tcW w:type="dxa" w:w="4968"/>
            <w:shd w:val="clear" w:color="auto" w:fill="12304A"/>
            <w:tcMar>
              <w:top w:w="80" w:type="dxa"/>
              <w:start w:w="90" w:type="dxa"/>
              <w:bottom w:w="80" w:type="dxa"/>
              <w:end w:w="90" w:type="dxa"/>
            </w:tcMar>
            <w:vAlign w:val="center"/>
          </w:tcPr>
          <w:p>
            <w:pPr>
              <w:spacing w:after="0" w:line="240" w:lineRule="auto"/>
            </w:pPr>
            <w:r>
              <w:rPr>
                <w:b/>
                <w:color w:val="FFFFFF"/>
                <w:sz w:val="16"/>
              </w:rPr>
              <w:t xml:space="preserve">Cons</w:t>
            </w:r>
          </w:p>
        </w:tc>
      </w:tr>
      <w:tr>
        <w:trPr>
          <w:cantSplit/>
        </w:trPr>
        <w:tc>
          <w:tcPr>
            <w:tcW w:type="dxa" w:w="4968"/>
            <w:tcMar>
              <w:top w:w="80" w:type="dxa"/>
              <w:start w:w="90" w:type="dxa"/>
              <w:bottom w:w="80" w:type="dxa"/>
              <w:end w:w="90" w:type="dxa"/>
            </w:tcMar>
            <w:vAlign w:val="center"/>
          </w:tcPr>
          <w:p>
            <w:pPr>
              <w:spacing w:after="0" w:line="240" w:lineRule="auto"/>
            </w:pPr>
            <w:r>
              <w:rPr>
                <w:color w:val="182633"/>
                <w:sz w:val="16"/>
              </w:rPr>
              <w:t xml:space="preserve">Q1 revenue +26% YoY and above guidance ($75M ± $2M). Q2 guide ~+31% at midpoint; company expects to meet or exceed [1][4][5][6].</w:t>
            </w:r>
          </w:p>
        </w:tc>
        <w:tc>
          <w:tcPr>
            <w:tcW w:type="dxa" w:w="4968"/>
            <w:tcMar>
              <w:top w:w="80" w:type="dxa"/>
              <w:start w:w="90" w:type="dxa"/>
              <w:bottom w:w="80" w:type="dxa"/>
              <w:end w:w="90" w:type="dxa"/>
            </w:tcMar>
            <w:vAlign w:val="center"/>
          </w:tcPr>
          <w:p>
            <w:pPr>
              <w:spacing w:after="0" w:line="240" w:lineRule="auto"/>
            </w:pPr>
            <w:r>
              <w:rPr>
                <w:color w:val="182633"/>
                <w:sz w:val="16"/>
              </w:rPr>
              <w:t xml:space="preserve">Share count ~5.7x in 15 months (6.96M to 39.38M). Dialectic’s note converted at $5.194 per share; the June share sale priced at $9.42 [2][8][33].</w:t>
            </w:r>
          </w:p>
        </w:tc>
      </w:tr>
      <w:tr>
        <w:trPr>
          <w:cantSplit/>
        </w:trPr>
        <w:tc>
          <w:tcPr>
            <w:tcW w:type="dxa" w:w="4968"/>
            <w:shd w:val="clear" w:color="auto" w:fill="F5F7F9"/>
            <w:tcMar>
              <w:top w:w="80" w:type="dxa"/>
              <w:start w:w="90" w:type="dxa"/>
              <w:bottom w:w="80" w:type="dxa"/>
              <w:end w:w="90" w:type="dxa"/>
            </w:tcMar>
            <w:vAlign w:val="center"/>
          </w:tcPr>
          <w:p>
            <w:pPr>
              <w:spacing w:after="0" w:line="240" w:lineRule="auto"/>
            </w:pPr>
            <w:r>
              <w:rPr>
                <w:color w:val="182633"/>
                <w:sz w:val="16"/>
              </w:rPr>
              <w:t xml:space="preserve">Gross margin 39.3% vs. 35.3%. GAAP operating income $5.0M vs. -$12.6M [1].</w:t>
            </w:r>
          </w:p>
        </w:tc>
        <w:tc>
          <w:tcPr>
            <w:tcW w:type="dxa" w:w="4968"/>
            <w:shd w:val="clear" w:color="auto" w:fill="F5F7F9"/>
            <w:tcMar>
              <w:top w:w="80" w:type="dxa"/>
              <w:start w:w="90" w:type="dxa"/>
              <w:bottom w:w="80" w:type="dxa"/>
              <w:end w:w="90" w:type="dxa"/>
            </w:tcMar>
            <w:vAlign w:val="center"/>
          </w:tcPr>
          <w:p>
            <w:pPr>
              <w:spacing w:after="0" w:line="240" w:lineRule="auto"/>
            </w:pPr>
            <w:r>
              <w:rPr>
                <w:color w:val="182633"/>
                <w:sz w:val="16"/>
              </w:rPr>
              <w:t xml:space="preserve">Key input (tape drives) comes from IBM, a competitor. Supply flat for months as of August [5][20].</w:t>
            </w:r>
          </w:p>
        </w:tc>
      </w:tr>
      <w:tr>
        <w:trPr>
          <w:cantSplit/>
        </w:trPr>
        <w:tc>
          <w:tcPr>
            <w:tcW w:type="dxa" w:w="4968"/>
            <w:tcMar>
              <w:top w:w="80" w:type="dxa"/>
              <w:start w:w="90" w:type="dxa"/>
              <w:bottom w:w="80" w:type="dxa"/>
              <w:end w:w="90" w:type="dxa"/>
            </w:tcMar>
            <w:vAlign w:val="center"/>
          </w:tcPr>
          <w:p>
            <w:pPr>
              <w:spacing w:after="0" w:line="240" w:lineRule="auto"/>
            </w:pPr>
            <w:r>
              <w:rPr>
                <w:color w:val="182633"/>
                <w:sz w:val="16"/>
              </w:rPr>
              <w:t xml:space="preserve">Debt $0 at Jun. 30, vs. a $55.9M term loan plus a convertible note at Mar. 31. FY2026 interest expense of $21.6M largely removed [2][5][6].</w:t>
            </w:r>
          </w:p>
        </w:tc>
        <w:tc>
          <w:tcPr>
            <w:tcW w:type="dxa" w:w="4968"/>
            <w:tcMar>
              <w:top w:w="80" w:type="dxa"/>
              <w:start w:w="90" w:type="dxa"/>
              <w:bottom w:w="80" w:type="dxa"/>
              <w:end w:w="90" w:type="dxa"/>
            </w:tcMar>
            <w:vAlign w:val="center"/>
          </w:tcPr>
          <w:p>
            <w:pPr>
              <w:spacing w:after="0" w:line="240" w:lineRule="auto"/>
            </w:pPr>
            <w:r>
              <w:rPr>
                <w:color w:val="182633"/>
                <w:sz w:val="16"/>
              </w:rPr>
              <w:t xml:space="preserve">Controls not effective (Mar. 2025, Mar. 2026, Jun. 2026). Restatements in May 2024 and Aug. 2025 [2][3][14].</w:t>
            </w:r>
          </w:p>
        </w:tc>
      </w:tr>
      <w:tr>
        <w:trPr>
          <w:cantSplit/>
        </w:trPr>
        <w:tc>
          <w:tcPr>
            <w:tcW w:type="dxa" w:w="4968"/>
            <w:shd w:val="clear" w:color="auto" w:fill="F5F7F9"/>
            <w:tcMar>
              <w:top w:w="80" w:type="dxa"/>
              <w:start w:w="90" w:type="dxa"/>
              <w:bottom w:w="80" w:type="dxa"/>
              <w:end w:w="90" w:type="dxa"/>
            </w:tcMar>
            <w:vAlign w:val="center"/>
          </w:tcPr>
          <w:p>
            <w:pPr>
              <w:spacing w:after="0" w:line="240" w:lineRule="auto"/>
            </w:pPr>
            <w:r>
              <w:rPr>
                <w:color w:val="182633"/>
                <w:sz w:val="16"/>
              </w:rPr>
              <w:t xml:space="preserve">LTO capacity shipments +57% YoY in Q1 2026. Backlog at a record, per management (no dollar figure) [5][19].</w:t>
            </w:r>
          </w:p>
        </w:tc>
        <w:tc>
          <w:tcPr>
            <w:tcW w:type="dxa" w:w="4968"/>
            <w:shd w:val="clear" w:color="auto" w:fill="F5F7F9"/>
            <w:tcMar>
              <w:top w:w="80" w:type="dxa"/>
              <w:start w:w="90" w:type="dxa"/>
              <w:bottom w:w="80" w:type="dxa"/>
              <w:end w:w="90" w:type="dxa"/>
            </w:tcMar>
            <w:vAlign w:val="center"/>
          </w:tcPr>
          <w:p>
            <w:pPr>
              <w:spacing w:after="0" w:line="240" w:lineRule="auto"/>
            </w:pPr>
            <w:r>
              <w:rPr>
                <w:color w:val="182633"/>
                <w:sz w:val="16"/>
              </w:rPr>
              <w:t xml:space="preserve">CFO terminated Oct. 9, no reason given. Three changes in the PFO role since Aug. 2025 [4][12][13].</w:t>
            </w:r>
          </w:p>
        </w:tc>
      </w:tr>
      <w:tr>
        <w:trPr>
          <w:cantSplit/>
        </w:trPr>
        <w:tc>
          <w:tcPr>
            <w:tcW w:type="dxa" w:w="4968"/>
            <w:tcMar>
              <w:top w:w="80" w:type="dxa"/>
              <w:start w:w="90" w:type="dxa"/>
              <w:bottom w:w="80" w:type="dxa"/>
              <w:end w:w="90" w:type="dxa"/>
            </w:tcMar>
            <w:vAlign w:val="center"/>
          </w:tcPr>
          <w:p>
            <w:pPr>
              <w:spacing w:after="0" w:line="240" w:lineRule="auto"/>
            </w:pPr>
            <w:r>
              <w:rPr>
                <w:color w:val="182633"/>
                <w:sz w:val="16"/>
              </w:rPr>
              <w:t xml:space="preserve">Deferred revenue of $115.1M helps fund working capital [2].</w:t>
            </w:r>
          </w:p>
        </w:tc>
        <w:tc>
          <w:tcPr>
            <w:tcW w:type="dxa" w:w="4968"/>
            <w:tcMar>
              <w:top w:w="80" w:type="dxa"/>
              <w:start w:w="90" w:type="dxa"/>
              <w:bottom w:w="80" w:type="dxa"/>
              <w:end w:w="90" w:type="dxa"/>
            </w:tcMar>
            <w:vAlign w:val="center"/>
          </w:tcPr>
          <w:p>
            <w:pPr>
              <w:spacing w:after="0" w:line="240" w:lineRule="auto"/>
            </w:pPr>
            <w:r>
              <w:rPr>
                <w:color w:val="182633"/>
                <w:sz w:val="16"/>
              </w:rPr>
              <w:t xml:space="preserve">Q1 operating cash flow $0.9M vs. adj. EBITDA $8.0M. FY2026 operating cash outflow $37.9M [2][6].</w:t>
            </w:r>
          </w:p>
        </w:tc>
      </w:tr>
      <w:tr>
        <w:trPr>
          <w:cantSplit/>
        </w:trPr>
        <w:tc>
          <w:tcPr>
            <w:tcW w:type="dxa" w:w="4968"/>
            <w:shd w:val="clear" w:color="auto" w:fill="F5F7F9"/>
            <w:tcMar>
              <w:top w:w="80" w:type="dxa"/>
              <w:start w:w="90" w:type="dxa"/>
              <w:bottom w:w="80" w:type="dxa"/>
              <w:end w:w="90" w:type="dxa"/>
            </w:tcMar>
            <w:vAlign w:val="center"/>
          </w:tcPr>
          <w:p>
            <w:pPr>
              <w:spacing w:after="0" w:line="240" w:lineRule="auto"/>
            </w:pPr>
            <w:r>
              <w:rPr>
                <w:color w:val="182633"/>
                <w:sz w:val="16"/>
              </w:rPr>
              <w:t xml:space="preserve">LTO media royalties ($2.3M in Q1) rise with industry volume [2][3].</w:t>
            </w:r>
          </w:p>
        </w:tc>
        <w:tc>
          <w:tcPr>
            <w:tcW w:type="dxa" w:w="4968"/>
            <w:shd w:val="clear" w:color="auto" w:fill="F5F7F9"/>
            <w:tcMar>
              <w:top w:w="80" w:type="dxa"/>
              <w:start w:w="90" w:type="dxa"/>
              <w:bottom w:w="80" w:type="dxa"/>
              <w:end w:w="90" w:type="dxa"/>
            </w:tcMar>
            <w:vAlign w:val="center"/>
          </w:tcPr>
          <w:p>
            <w:pPr>
              <w:spacing w:after="0" w:line="240" w:lineRule="auto"/>
            </w:pPr>
            <w:r>
              <w:rPr>
                <w:color w:val="182633"/>
                <w:sz w:val="16"/>
              </w:rPr>
              <w:t xml:space="preserve">Top five customers = 27% of FY2026 revenue; one customer &gt;10% [3].</w:t>
            </w:r>
          </w:p>
        </w:tc>
      </w:tr>
      <w:tr>
        <w:trPr>
          <w:cantSplit/>
        </w:trPr>
        <w:tc>
          <w:tcPr>
            <w:tcW w:type="dxa" w:w="4968"/>
            <w:tcMar>
              <w:top w:w="80" w:type="dxa"/>
              <w:start w:w="90" w:type="dxa"/>
              <w:bottom w:w="80" w:type="dxa"/>
              <w:end w:w="90" w:type="dxa"/>
            </w:tcMar>
            <w:vAlign w:val="center"/>
          </w:tcPr>
          <w:p>
            <w:pPr>
              <w:spacing w:after="0" w:line="240" w:lineRule="auto"/>
            </w:pPr>
            <w:r>
              <w:rPr>
                <w:color w:val="182633"/>
                <w:sz w:val="16"/>
              </w:rPr>
              <w:t xml:space="preserve">Experienced hires: COO ran Dell storage sales; PFO is a CPA with a controls background [4][10].</w:t>
            </w:r>
          </w:p>
        </w:tc>
        <w:tc>
          <w:tcPr>
            <w:tcW w:type="dxa" w:w="4968"/>
            <w:tcMar>
              <w:top w:w="80" w:type="dxa"/>
              <w:start w:w="90" w:type="dxa"/>
              <w:bottom w:w="80" w:type="dxa"/>
              <w:end w:w="90" w:type="dxa"/>
            </w:tcMar>
            <w:vAlign w:val="center"/>
          </w:tcPr>
          <w:p>
            <w:pPr>
              <w:spacing w:after="0" w:line="240" w:lineRule="auto"/>
            </w:pPr>
            <w:r>
              <w:rPr>
                <w:color w:val="182633"/>
                <w:sz w:val="16"/>
              </w:rPr>
              <w:t xml:space="preserve">No credit line since Aug. 2025; cash of $54.6M is the main buffer. Pending securities class action [2].</w:t>
            </w:r>
          </w:p>
        </w:tc>
      </w:tr>
    </w:tbl>
    <w:p>
      <w:pPr>
        <w:spacing w:after="0"/>
      </w:pPr>
    </w:p>
    <w:p>
      <w:pPr>
        <w:pStyle w:val="Heading2"/>
      </w:pPr>
      <w:r>
        <w:t xml:space="preserve">Why the stock rose, and why I would not buy yet</w:t>
      </w:r>
    </w:p>
    <w:p>
      <w:r>
        <w:t xml:space="preserve">The stock is up about 372% this year. It jumped 65% in one day after the Q1 report, from $11.78 on Aug. 10 to $19.40 on Aug. 11 [43]. In my view it rose on good news and on fast growth in data storage. The table sets what buyers seem to expect next to what the evidence shows so far.</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4000"/>
        <w:gridCol w:w="5936"/>
      </w:tblGrid>
      <w:tr>
        <w:trPr>
          <w:tblHeader/>
          <w:cantSplit/>
        </w:trPr>
        <w:tc>
          <w:tcPr>
            <w:tcW w:type="dxa" w:w="4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What buyers seem to expect</w:t>
            </w:r>
          </w:p>
        </w:tc>
        <w:tc>
          <w:tcPr>
            <w:tcW w:type="dxa" w:w="59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What the evidence shows so far</w:t>
            </w:r>
          </w:p>
        </w:tc>
      </w:tr>
      <w:tr>
        <w:trPr>
          <w:cantSplit/>
        </w:trPr>
        <w:tc>
          <w:tcPr>
            <w:tcW w:type="dxa" w:w="4000"/>
            <w:tcMar>
              <w:top w:w="80" w:type="dxa"/>
              <w:start w:w="90" w:type="dxa"/>
              <w:bottom w:w="80" w:type="dxa"/>
              <w:end w:w="90" w:type="dxa"/>
            </w:tcMar>
            <w:vAlign w:val="center"/>
          </w:tcPr>
          <w:p>
            <w:pPr>
              <w:keepNext/>
              <w:spacing w:after="0" w:line="240" w:lineRule="auto"/>
            </w:pPr>
            <w:r>
              <w:rPr>
                <w:b/>
                <w:color w:val="12304A"/>
                <w:sz w:val="16"/>
              </w:rPr>
              <w:t xml:space="preserve">AI and data growth will lift tape demand for years.</w:t>
            </w:r>
          </w:p>
        </w:tc>
        <w:tc>
          <w:tcPr>
            <w:tcW w:type="dxa" w:w="5936"/>
            <w:tcMar>
              <w:top w:w="80" w:type="dxa"/>
              <w:start w:w="90" w:type="dxa"/>
              <w:bottom w:w="80" w:type="dxa"/>
              <w:end w:w="90" w:type="dxa"/>
            </w:tcMar>
            <w:vAlign w:val="center"/>
          </w:tcPr>
          <w:p>
            <w:pPr>
              <w:keepNext/>
              <w:spacing w:after="0" w:line="240" w:lineRule="auto"/>
            </w:pPr>
            <w:r>
              <w:rPr>
                <w:color w:val="182633"/>
                <w:sz w:val="16"/>
              </w:rPr>
              <w:t xml:space="preserve">LTO tape shipments rose 57% in Q1 2026. But they fell 9% in 2025, and grew only ~2% a year from 2021 to 2025 [19][40].</w:t>
            </w:r>
          </w:p>
        </w:tc>
      </w:tr>
      <w:tr>
        <w:trPr>
          <w:cantSplit/>
        </w:trPr>
        <w:tc>
          <w:tcPr>
            <w:tcW w:type="dxa" w:w="40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The turnaround is done.</w:t>
            </w:r>
          </w:p>
        </w:tc>
        <w:tc>
          <w:tcPr>
            <w:tcW w:type="dxa" w:w="59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One quarter of positive GAAP operating income ($5.0M). Q1 operating cash flow was only $0.9M. FY2026 operating cash outflow was $37.9M [1][2][6].</w:t>
            </w:r>
          </w:p>
        </w:tc>
      </w:tr>
      <w:tr>
        <w:trPr>
          <w:cantSplit/>
        </w:trPr>
        <w:tc>
          <w:tcPr>
            <w:tcW w:type="dxa" w:w="4000"/>
            <w:tcMar>
              <w:top w:w="80" w:type="dxa"/>
              <w:start w:w="90" w:type="dxa"/>
              <w:bottom w:w="80" w:type="dxa"/>
              <w:end w:w="90" w:type="dxa"/>
            </w:tcMar>
            <w:vAlign w:val="center"/>
          </w:tcPr>
          <w:p>
            <w:pPr>
              <w:keepNext/>
              <w:spacing w:after="0" w:line="240" w:lineRule="auto"/>
            </w:pPr>
            <w:r>
              <w:rPr>
                <w:b/>
                <w:color w:val="12304A"/>
                <w:sz w:val="16"/>
              </w:rPr>
              <w:t xml:space="preserve">Debt-free means low risk.</w:t>
            </w:r>
          </w:p>
        </w:tc>
        <w:tc>
          <w:tcPr>
            <w:tcW w:type="dxa" w:w="5936"/>
            <w:tcMar>
              <w:top w:w="80" w:type="dxa"/>
              <w:start w:w="90" w:type="dxa"/>
              <w:bottom w:w="80" w:type="dxa"/>
              <w:end w:w="90" w:type="dxa"/>
            </w:tcMar>
            <w:vAlign w:val="center"/>
          </w:tcPr>
          <w:p>
            <w:pPr>
              <w:keepNext/>
              <w:spacing w:after="0" w:line="240" w:lineRule="auto"/>
            </w:pPr>
            <w:r>
              <w:rPr>
                <w:color w:val="182633"/>
                <w:sz w:val="16"/>
              </w:rPr>
              <w:t xml:space="preserve">Debt is gone. But the share count rose ~5.7x in 15 months, and there is no credit line [2][33].</w:t>
            </w:r>
          </w:p>
        </w:tc>
      </w:tr>
      <w:tr>
        <w:trPr>
          <w:cantSplit/>
        </w:trPr>
        <w:tc>
          <w:tcPr>
            <w:tcW w:type="dxa" w:w="40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Supply will open up and revenue will jump.</w:t>
            </w:r>
          </w:p>
        </w:tc>
        <w:tc>
          <w:tcPr>
            <w:tcW w:type="dxa" w:w="59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IBM drive supply was flat for months as of August. Management said it had not yet seen the turning point [5].</w:t>
            </w:r>
          </w:p>
        </w:tc>
      </w:tr>
      <w:tr>
        <w:trPr>
          <w:cantSplit/>
        </w:trPr>
        <w:tc>
          <w:tcPr>
            <w:tcW w:type="dxa" w:w="4000"/>
            <w:tcMar>
              <w:top w:w="80" w:type="dxa"/>
              <w:start w:w="90" w:type="dxa"/>
              <w:bottom w:w="80" w:type="dxa"/>
              <w:end w:w="90" w:type="dxa"/>
            </w:tcMar>
            <w:vAlign w:val="center"/>
          </w:tcPr>
          <w:p>
            <w:pPr>
              <w:keepNext/>
              <w:spacing w:after="0" w:line="240" w:lineRule="auto"/>
            </w:pPr>
            <w:r>
              <w:rPr>
                <w:b/>
                <w:color w:val="12304A"/>
                <w:sz w:val="16"/>
              </w:rPr>
              <w:t xml:space="preserve">Big hyperscaler deals will keep coming.</w:t>
            </w:r>
          </w:p>
        </w:tc>
        <w:tc>
          <w:tcPr>
            <w:tcW w:type="dxa" w:w="5936"/>
            <w:tcMar>
              <w:top w:w="80" w:type="dxa"/>
              <w:start w:w="90" w:type="dxa"/>
              <w:bottom w:w="80" w:type="dxa"/>
              <w:end w:w="90" w:type="dxa"/>
            </w:tcMar>
            <w:vAlign w:val="center"/>
          </w:tcPr>
          <w:p>
            <w:pPr>
              <w:keepNext/>
              <w:spacing w:after="0" w:line="240" w:lineRule="auto"/>
            </w:pPr>
            <w:r>
              <w:rPr>
                <w:color w:val="182633"/>
                <w:sz w:val="16"/>
              </w:rPr>
              <w:t xml:space="preserve">One APAC deal was “well over eight figures.” The top five customers are 27% of revenue; one is over 10% [3][5].</w:t>
            </w:r>
          </w:p>
        </w:tc>
      </w:tr>
      <w:tr>
        <w:trPr>
          <w:cantSplit/>
        </w:trPr>
        <w:tc>
          <w:tcPr>
            <w:tcW w:type="dxa" w:w="4000"/>
            <w:shd w:val="clear" w:color="auto" w:fill="F5F7F9"/>
            <w:tcMar>
              <w:top w:w="80" w:type="dxa"/>
              <w:start w:w="90" w:type="dxa"/>
              <w:bottom w:w="80" w:type="dxa"/>
              <w:end w:w="90" w:type="dxa"/>
            </w:tcMar>
            <w:vAlign w:val="center"/>
          </w:tcPr>
          <w:p>
            <w:pPr>
              <w:spacing w:after="0" w:line="240" w:lineRule="auto"/>
            </w:pPr>
            <w:r>
              <w:rPr>
                <w:b/>
                <w:color w:val="12304A"/>
                <w:sz w:val="16"/>
              </w:rPr>
              <w:t xml:space="preserve">New management will fix the company.</w:t>
            </w:r>
          </w:p>
        </w:tc>
        <w:tc>
          <w:tcPr>
            <w:tcW w:type="dxa" w:w="5936"/>
            <w:shd w:val="clear" w:color="auto" w:fill="F5F7F9"/>
            <w:tcMar>
              <w:top w:w="80" w:type="dxa"/>
              <w:start w:w="90" w:type="dxa"/>
              <w:bottom w:w="80" w:type="dxa"/>
              <w:end w:w="90" w:type="dxa"/>
            </w:tcMar>
            <w:vAlign w:val="center"/>
          </w:tcPr>
          <w:p>
            <w:pPr>
              <w:spacing w:after="0" w:line="240" w:lineRule="auto"/>
            </w:pPr>
            <w:r>
              <w:rPr>
                <w:color w:val="182633"/>
                <w:sz w:val="16"/>
              </w:rPr>
              <w:t xml:space="preserve">Promising hires. But the CFO was terminated about eight months after joining, and controls are still not effective [2][4][12].</w:t>
            </w:r>
          </w:p>
        </w:tc>
      </w:tr>
    </w:tbl>
    <w:p>
      <w:pPr>
        <w:spacing w:after="0"/>
      </w:pPr>
    </w:p>
    <w:p>
      <w:pPr>
        <w:pStyle w:val="Heading1"/>
      </w:pPr>
      <w:r>
        <w:t xml:space="preserve">2. Results, cash and the recapitalization</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336"/>
        <w:gridCol w:w="2200"/>
        <w:gridCol w:w="2200"/>
        <w:gridCol w:w="2200"/>
      </w:tblGrid>
      <w:tr>
        <w:trPr>
          <w:tblHeader/>
          <w:cantSplit/>
        </w:trPr>
        <w:tc>
          <w:tcPr>
            <w:tcW w:type="dxa" w:w="3336"/>
            <w:shd w:val="clear" w:color="auto" w:fill="12304A"/>
            <w:tcMar>
              <w:top w:w="80" w:type="dxa"/>
              <w:start w:w="90" w:type="dxa"/>
              <w:bottom w:w="80" w:type="dxa"/>
              <w:end w:w="90" w:type="dxa"/>
            </w:tcMar>
            <w:vAlign w:val="center"/>
          </w:tcPr>
          <w:p>
            <w:pPr>
              <w:spacing w:after="0" w:line="240" w:lineRule="auto"/>
            </w:pPr>
            <w:r>
              <w:rPr>
                <w:b/>
                <w:color w:val="FFFFFF"/>
                <w:sz w:val="16"/>
              </w:rPr>
              <w:t xml:space="preserve">Metric</w:t>
            </w:r>
          </w:p>
        </w:tc>
        <w:tc>
          <w:tcPr>
            <w:tcW w:type="dxa" w:w="2200"/>
            <w:shd w:val="clear" w:color="auto" w:fill="12304A"/>
            <w:tcMar>
              <w:top w:w="80" w:type="dxa"/>
              <w:start w:w="90" w:type="dxa"/>
              <w:bottom w:w="80" w:type="dxa"/>
              <w:end w:w="90" w:type="dxa"/>
            </w:tcMar>
            <w:vAlign w:val="center"/>
          </w:tcPr>
          <w:p>
            <w:pPr>
              <w:spacing w:after="0" w:line="240" w:lineRule="auto"/>
            </w:pPr>
            <w:r>
              <w:rPr>
                <w:b/>
                <w:color w:val="FFFFFF"/>
                <w:sz w:val="16"/>
              </w:rPr>
              <w:t xml:space="preserve">Q1 FY2027</w:t>
            </w:r>
          </w:p>
        </w:tc>
        <w:tc>
          <w:tcPr>
            <w:tcW w:type="dxa" w:w="2200"/>
            <w:shd w:val="clear" w:color="auto" w:fill="12304A"/>
            <w:tcMar>
              <w:top w:w="80" w:type="dxa"/>
              <w:start w:w="90" w:type="dxa"/>
              <w:bottom w:w="80" w:type="dxa"/>
              <w:end w:w="90" w:type="dxa"/>
            </w:tcMar>
            <w:vAlign w:val="center"/>
          </w:tcPr>
          <w:p>
            <w:pPr>
              <w:spacing w:after="0" w:line="240" w:lineRule="auto"/>
            </w:pPr>
            <w:r>
              <w:rPr>
                <w:b/>
                <w:color w:val="FFFFFF"/>
                <w:sz w:val="16"/>
              </w:rPr>
              <w:t xml:space="preserve">Q1 FY2026</w:t>
            </w:r>
          </w:p>
        </w:tc>
        <w:tc>
          <w:tcPr>
            <w:tcW w:type="dxa" w:w="2200"/>
            <w:shd w:val="clear" w:color="auto" w:fill="12304A"/>
            <w:tcMar>
              <w:top w:w="80" w:type="dxa"/>
              <w:start w:w="90" w:type="dxa"/>
              <w:bottom w:w="80" w:type="dxa"/>
              <w:end w:w="90" w:type="dxa"/>
            </w:tcMar>
            <w:vAlign w:val="center"/>
          </w:tcPr>
          <w:p>
            <w:pPr>
              <w:spacing w:after="0" w:line="240" w:lineRule="auto"/>
            </w:pPr>
            <w:r>
              <w:rPr>
                <w:b/>
                <w:color w:val="FFFFFF"/>
                <w:sz w:val="16"/>
              </w:rPr>
              <w:t xml:space="preserve">Change</w:t>
            </w:r>
          </w:p>
        </w:tc>
      </w:tr>
      <w:tr>
        <w:trPr>
          <w:cantSplit/>
        </w:trPr>
        <w:tc>
          <w:tcPr>
            <w:tcW w:type="dxa" w:w="3336"/>
            <w:tcMar>
              <w:top w:w="80" w:type="dxa"/>
              <w:start w:w="90" w:type="dxa"/>
              <w:bottom w:w="80" w:type="dxa"/>
              <w:end w:w="90" w:type="dxa"/>
            </w:tcMar>
            <w:vAlign w:val="center"/>
          </w:tcPr>
          <w:p>
            <w:pPr>
              <w:spacing w:after="0" w:line="240" w:lineRule="auto"/>
            </w:pPr>
            <w:r>
              <w:rPr>
                <w:b/>
                <w:color w:val="12304A"/>
                <w:sz w:val="16"/>
              </w:rPr>
              <w:t xml:space="preserve">Revenue</w:t>
            </w:r>
          </w:p>
        </w:tc>
        <w:tc>
          <w:tcPr>
            <w:tcW w:type="dxa" w:w="2200"/>
            <w:tcMar>
              <w:top w:w="80" w:type="dxa"/>
              <w:start w:w="90" w:type="dxa"/>
              <w:bottom w:w="80" w:type="dxa"/>
              <w:end w:w="90" w:type="dxa"/>
            </w:tcMar>
            <w:vAlign w:val="center"/>
          </w:tcPr>
          <w:p>
            <w:pPr>
              <w:spacing w:after="0" w:line="240" w:lineRule="auto"/>
            </w:pPr>
            <w:r>
              <w:rPr>
                <w:color w:val="182633"/>
                <w:sz w:val="16"/>
              </w:rPr>
              <w:t xml:space="preserve">$80.8M</w:t>
            </w:r>
          </w:p>
        </w:tc>
        <w:tc>
          <w:tcPr>
            <w:tcW w:type="dxa" w:w="2200"/>
            <w:tcMar>
              <w:top w:w="80" w:type="dxa"/>
              <w:start w:w="90" w:type="dxa"/>
              <w:bottom w:w="80" w:type="dxa"/>
              <w:end w:w="90" w:type="dxa"/>
            </w:tcMar>
            <w:vAlign w:val="center"/>
          </w:tcPr>
          <w:p>
            <w:pPr>
              <w:spacing w:after="0" w:line="240" w:lineRule="auto"/>
            </w:pPr>
            <w:r>
              <w:rPr>
                <w:color w:val="182633"/>
                <w:sz w:val="16"/>
              </w:rPr>
              <w:t xml:space="preserve">$64.3M</w:t>
            </w:r>
          </w:p>
        </w:tc>
        <w:tc>
          <w:tcPr>
            <w:tcW w:type="dxa" w:w="2200"/>
            <w:tcMar>
              <w:top w:w="80" w:type="dxa"/>
              <w:start w:w="90" w:type="dxa"/>
              <w:bottom w:w="80" w:type="dxa"/>
              <w:end w:w="90" w:type="dxa"/>
            </w:tcMar>
            <w:vAlign w:val="center"/>
          </w:tcPr>
          <w:p>
            <w:pPr>
              <w:spacing w:after="0" w:line="240" w:lineRule="auto"/>
            </w:pPr>
            <w:r>
              <w:rPr>
                <w:color w:val="182633"/>
                <w:sz w:val="16"/>
              </w:rPr>
              <w:t xml:space="preserve">+26%</w:t>
            </w:r>
          </w:p>
        </w:tc>
      </w:tr>
      <w:tr>
        <w:trPr>
          <w:cantSplit/>
        </w:trPr>
        <w:tc>
          <w:tcPr>
            <w:tcW w:type="dxa" w:w="3336"/>
            <w:shd w:val="clear" w:color="auto" w:fill="F5F7F9"/>
            <w:tcMar>
              <w:top w:w="80" w:type="dxa"/>
              <w:start w:w="90" w:type="dxa"/>
              <w:bottom w:w="80" w:type="dxa"/>
              <w:end w:w="90" w:type="dxa"/>
            </w:tcMar>
            <w:vAlign w:val="center"/>
          </w:tcPr>
          <w:p>
            <w:pPr>
              <w:spacing w:after="0" w:line="240" w:lineRule="auto"/>
            </w:pPr>
            <w:r>
              <w:rPr>
                <w:b/>
                <w:color w:val="12304A"/>
                <w:sz w:val="16"/>
              </w:rPr>
              <w:t xml:space="preserve">Gross margin</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39.3%</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35.3%</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+3.9 pts</w:t>
            </w:r>
          </w:p>
        </w:tc>
      </w:tr>
      <w:tr>
        <w:trPr>
          <w:cantSplit/>
        </w:trPr>
        <w:tc>
          <w:tcPr>
            <w:tcW w:type="dxa" w:w="3336"/>
            <w:tcMar>
              <w:top w:w="80" w:type="dxa"/>
              <w:start w:w="90" w:type="dxa"/>
              <w:bottom w:w="80" w:type="dxa"/>
              <w:end w:w="90" w:type="dxa"/>
            </w:tcMar>
            <w:vAlign w:val="center"/>
          </w:tcPr>
          <w:p>
            <w:pPr>
              <w:spacing w:after="0" w:line="240" w:lineRule="auto"/>
            </w:pPr>
            <w:r>
              <w:rPr>
                <w:b/>
                <w:color w:val="12304A"/>
                <w:sz w:val="16"/>
              </w:rPr>
              <w:t xml:space="preserve">GAAP operating income (loss)</w:t>
            </w:r>
          </w:p>
        </w:tc>
        <w:tc>
          <w:tcPr>
            <w:tcW w:type="dxa" w:w="2200"/>
            <w:tcMar>
              <w:top w:w="80" w:type="dxa"/>
              <w:start w:w="90" w:type="dxa"/>
              <w:bottom w:w="80" w:type="dxa"/>
              <w:end w:w="90" w:type="dxa"/>
            </w:tcMar>
            <w:vAlign w:val="center"/>
          </w:tcPr>
          <w:p>
            <w:pPr>
              <w:spacing w:after="0" w:line="240" w:lineRule="auto"/>
            </w:pPr>
            <w:r>
              <w:rPr>
                <w:color w:val="182633"/>
                <w:sz w:val="16"/>
              </w:rPr>
              <w:t xml:space="preserve">$5.0M</w:t>
            </w:r>
          </w:p>
        </w:tc>
        <w:tc>
          <w:tcPr>
            <w:tcW w:type="dxa" w:w="2200"/>
            <w:tcMar>
              <w:top w:w="80" w:type="dxa"/>
              <w:start w:w="90" w:type="dxa"/>
              <w:bottom w:w="80" w:type="dxa"/>
              <w:end w:w="90" w:type="dxa"/>
            </w:tcMar>
            <w:vAlign w:val="center"/>
          </w:tcPr>
          <w:p>
            <w:pPr>
              <w:spacing w:after="0" w:line="240" w:lineRule="auto"/>
            </w:pPr>
            <w:r>
              <w:rPr>
                <w:color w:val="182633"/>
                <w:sz w:val="16"/>
              </w:rPr>
              <w:t xml:space="preserve">($12.6M)</w:t>
            </w:r>
          </w:p>
        </w:tc>
        <w:tc>
          <w:tcPr>
            <w:tcW w:type="dxa" w:w="2200"/>
            <w:tcMar>
              <w:top w:w="80" w:type="dxa"/>
              <w:start w:w="90" w:type="dxa"/>
              <w:bottom w:w="80" w:type="dxa"/>
              <w:end w:w="90" w:type="dxa"/>
            </w:tcMar>
            <w:vAlign w:val="center"/>
          </w:tcPr>
          <w:p>
            <w:pPr>
              <w:spacing w:after="0" w:line="240" w:lineRule="auto"/>
            </w:pPr>
            <w:r>
              <w:rPr>
                <w:color w:val="182633"/>
                <w:sz w:val="16"/>
              </w:rPr>
              <w:t xml:space="preserve">Turned positive</w:t>
            </w:r>
          </w:p>
        </w:tc>
      </w:tr>
      <w:tr>
        <w:trPr>
          <w:cantSplit/>
        </w:trPr>
        <w:tc>
          <w:tcPr>
            <w:tcW w:type="dxa" w:w="3336"/>
            <w:shd w:val="clear" w:color="auto" w:fill="F5F7F9"/>
            <w:tcMar>
              <w:top w:w="80" w:type="dxa"/>
              <w:start w:w="90" w:type="dxa"/>
              <w:bottom w:w="80" w:type="dxa"/>
              <w:end w:w="90" w:type="dxa"/>
            </w:tcMar>
            <w:vAlign w:val="center"/>
          </w:tcPr>
          <w:p>
            <w:pPr>
              <w:spacing w:after="0" w:line="240" w:lineRule="auto"/>
            </w:pPr>
            <w:r>
              <w:rPr>
                <w:b/>
                <w:color w:val="12304A"/>
                <w:sz w:val="16"/>
              </w:rPr>
              <w:t xml:space="preserve">Adjusted EBITDA (non-GAAP)</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$8.0M</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($6.5M)</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Turned positive</w:t>
            </w:r>
          </w:p>
        </w:tc>
      </w:tr>
      <w:tr>
        <w:trPr>
          <w:cantSplit/>
        </w:trPr>
        <w:tc>
          <w:tcPr>
            <w:tcW w:type="dxa" w:w="3336"/>
            <w:tcMar>
              <w:top w:w="80" w:type="dxa"/>
              <w:start w:w="90" w:type="dxa"/>
              <w:bottom w:w="80" w:type="dxa"/>
              <w:end w:w="90" w:type="dxa"/>
            </w:tcMar>
            <w:vAlign w:val="center"/>
          </w:tcPr>
          <w:p>
            <w:pPr>
              <w:spacing w:after="0" w:line="240" w:lineRule="auto"/>
            </w:pPr>
            <w:r>
              <w:rPr>
                <w:b/>
                <w:color w:val="12304A"/>
                <w:sz w:val="16"/>
              </w:rPr>
              <w:t xml:space="preserve">GAAP net loss</w:t>
            </w:r>
          </w:p>
        </w:tc>
        <w:tc>
          <w:tcPr>
            <w:tcW w:type="dxa" w:w="2200"/>
            <w:tcMar>
              <w:top w:w="80" w:type="dxa"/>
              <w:start w:w="90" w:type="dxa"/>
              <w:bottom w:w="80" w:type="dxa"/>
              <w:end w:w="90" w:type="dxa"/>
            </w:tcMar>
            <w:vAlign w:val="center"/>
          </w:tcPr>
          <w:p>
            <w:pPr>
              <w:spacing w:after="0" w:line="240" w:lineRule="auto"/>
            </w:pPr>
            <w:r>
              <w:rPr>
                <w:color w:val="182633"/>
                <w:sz w:val="16"/>
              </w:rPr>
              <w:t xml:space="preserve">($155.3M)</w:t>
            </w:r>
          </w:p>
        </w:tc>
        <w:tc>
          <w:tcPr>
            <w:tcW w:type="dxa" w:w="2200"/>
            <w:tcMar>
              <w:top w:w="80" w:type="dxa"/>
              <w:start w:w="90" w:type="dxa"/>
              <w:bottom w:w="80" w:type="dxa"/>
              <w:end w:w="90" w:type="dxa"/>
            </w:tcMar>
            <w:vAlign w:val="center"/>
          </w:tcPr>
          <w:p>
            <w:pPr>
              <w:spacing w:after="0" w:line="240" w:lineRule="auto"/>
            </w:pPr>
            <w:r>
              <w:rPr>
                <w:color w:val="182633"/>
                <w:sz w:val="16"/>
              </w:rPr>
              <w:t xml:space="preserve">($17.2M)</w:t>
            </w:r>
          </w:p>
        </w:tc>
        <w:tc>
          <w:tcPr>
            <w:tcW w:type="dxa" w:w="2200"/>
            <w:tcMar>
              <w:top w:w="80" w:type="dxa"/>
              <w:start w:w="90" w:type="dxa"/>
              <w:bottom w:w="80" w:type="dxa"/>
              <w:end w:w="90" w:type="dxa"/>
            </w:tcMar>
            <w:vAlign w:val="center"/>
          </w:tcPr>
          <w:p>
            <w:pPr>
              <w:spacing w:after="0" w:line="240" w:lineRule="auto"/>
            </w:pPr>
            <w:r>
              <w:rPr>
                <w:color w:val="182633"/>
                <w:sz w:val="16"/>
              </w:rPr>
              <w:t xml:space="preserve">Includes $157.7M noncash charges</w:t>
            </w:r>
          </w:p>
        </w:tc>
      </w:tr>
      <w:tr>
        <w:trPr>
          <w:cantSplit/>
        </w:trPr>
        <w:tc>
          <w:tcPr>
            <w:tcW w:type="dxa" w:w="3336"/>
            <w:shd w:val="clear" w:color="auto" w:fill="F5F7F9"/>
            <w:tcMar>
              <w:top w:w="80" w:type="dxa"/>
              <w:start w:w="90" w:type="dxa"/>
              <w:bottom w:w="80" w:type="dxa"/>
              <w:end w:w="90" w:type="dxa"/>
            </w:tcMar>
            <w:vAlign w:val="center"/>
          </w:tcPr>
          <w:p>
            <w:pPr>
              <w:spacing w:after="0" w:line="240" w:lineRule="auto"/>
            </w:pPr>
            <w:r>
              <w:rPr>
                <w:b/>
                <w:color w:val="12304A"/>
                <w:sz w:val="16"/>
              </w:rPr>
              <w:t xml:space="preserve">Operating cash flow</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$0.9M</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($16.9M)</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Improved; thin vs. EBITDA</w:t>
            </w:r>
          </w:p>
        </w:tc>
      </w:tr>
    </w:tbl>
    <w:p>
      <w:pPr>
        <w:spacing w:after="0"/>
      </w:pPr>
    </w:p>
    <w:p>
      <w:pPr>
        <w:pStyle w:val="SmallNote"/>
      </w:pPr>
      <w:r>
        <w:t xml:space="preserve">Sources: [1][2]. The GAAP loss includes a $129.7M loss on the convertible note’s fair value, a $16.3M warrant loss and an $11.7M debt-extinguishment loss [5].</w:t>
      </w:r>
    </w:p>
    <w:p>
      <w:r>
        <w:rPr>
          <w:b/>
        </w:rPr>
        <w:t xml:space="preserve">Against guidance.</w:t>
      </w:r>
      <w:r>
        <w:t xml:space="preserve"> In June the company guided Q1 revenue of $75M ± $2M and adjusted EBITDA of $1.5M ± $1M. It reported $80.8M and $8.0M. Both were above the top of the range [1][6].</w:t>
      </w:r>
    </w:p>
    <w:p>
      <w:r>
        <w:rPr>
          <w:b/>
        </w:rPr>
        <w:t xml:space="preserve">Mix.</w:t>
      </w:r>
      <w:r>
        <w:t xml:space="preserve"> Product revenue was $53.9M (66.7%), service and subscription $24.7M (30.5%) and royalties $2.3M (2.8%). Product drove ~99% of the YoY increase. Service and subscription fell ~1% YoY [2].</w:t>
      </w:r>
    </w:p>
    <w:p>
      <w:r>
        <w:rPr>
          <w:b/>
        </w:rPr>
        <w:t xml:space="preserve">History.</w:t>
      </w:r>
      <w:r>
        <w:t xml:space="preserve"> Revenue was $412.8M in FY2023 (as originally reported; FY2022-FY2023 were later restated), $274.1M in FY2025 and $279.6M in FY2026. The Q2 guide annualizes to ~$328M, still ~20% below FY2023 [3][6][7].</w:t>
      </w:r>
    </w:p>
    <w:p>
      <w:r>
        <w:rPr>
          <w:b/>
        </w:rPr>
        <w:t xml:space="preserve">Weak base.</w:t>
      </w:r>
      <w:r>
        <w:t xml:space="preserve"> Recent growth starts from a low point. Q2 FY2026 revenue was $62.7M, down from $71.8M a year earlier. So the Q2 FY2027 guide of $82M is ~31% above last year, but only ~14% above two years ago. Quarter to quarter, revenue went from $78.0M (Q4 FY2026) to $80.8M (Q1) to $82M guided (Q2). Management says drive supply limits shipments [1][5][6][34].</w:t>
      </w:r>
    </w:p>
    <w:p xmlns:a="http://schemas.openxmlformats.org/drawingml/2006/main" xmlns:pic="http://schemas.openxmlformats.org/drawingml/2006/picture">
      <w:pPr>
        <w:keepNext/>
        <w:spacing w:before="160" w:after="60"/>
        <w:jc w:val="center"/>
      </w:pPr>
      <w:r>
        <w:drawing>
          <wp:inline distT="0" distB="0" distL="0" distR="0">
            <wp:extent cx="6035040" cy="2833554"/>
            <wp:effectExtent l="0" t="0" r="0" b="0"/>
            <wp:docPr id="902" name="Figure 2" descr="Bar charts of Quantum quarterly revenue from Q1 FY2026 to the Q2 FY2027 guide, and of shares outstanding from March 2025 to June 2026."/>
            <wp:cNvGraphicFramePr>
              <a:graphicFrameLocks noChangeAspect="1"/>
            </wp:cNvGraphicFramePr>
            <a:graphic>
              <a:graphicData uri="http://schemas.openxmlformats.org/drawingml/2006/picture">
                <pic:pic>
                  <pic:nvPicPr>
                    <pic:cNvPr id="902" name="qmco_fig2.png"/>
                    <pic:cNvPicPr/>
                  </pic:nvPicPr>
                  <pic:blipFill>
                    <a:blip r:embed="rId201"/>
                    <a:stretch>
                      <a:fillRect/>
                    </a:stretch>
                  </pic:blipFill>
                  <pic:spPr>
                    <a:xfrm>
                      <a:off x="0" y="0"/>
                      <a:ext cx="6035040" cy="2833554"/>
                    </a:xfrm>
                    <a:prstGeom prst="rect">
                      <a:avLst/>
                    </a:prstGeom>
                  </pic:spPr>
                </pic:pic>
              </a:graphicData>
            </a:graphic>
          </wp:inline>
        </w:drawing>
      </w:r>
    </w:p>
    <w:p>
      <w:pPr>
        <w:pStyle w:val="SmallNote"/>
      </w:pPr>
      <w:r>
        <w:t xml:space="preserve">Figure 2. Quarterly revenue and shares outstanding. Q3 FY2026 revenue is derived from the FY2026 total; Q2 FY2027 is the guidance midpoint. Sources: [1][2][6][33][34].</w:t>
      </w:r>
    </w:p>
    <w:p>
      <w:pPr>
        <w:pStyle w:val="Heading2"/>
      </w:pPr>
      <w:r>
        <w:t xml:space="preserve">Recapitalization (June 2026)</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300"/>
        <w:gridCol w:w="6236"/>
        <w:gridCol w:w="1400"/>
      </w:tblGrid>
      <w:tr>
        <w:trPr>
          <w:tblHeader/>
          <w:cantSplit/>
        </w:trPr>
        <w:tc>
          <w:tcPr>
            <w:tcW w:type="dxa" w:w="2300"/>
            <w:shd w:val="clear" w:color="auto" w:fill="12304A"/>
            <w:tcMar>
              <w:top w:w="80" w:type="dxa"/>
              <w:start w:w="90" w:type="dxa"/>
              <w:bottom w:w="80" w:type="dxa"/>
              <w:end w:w="90" w:type="dxa"/>
            </w:tcMar>
            <w:vAlign w:val="center"/>
          </w:tcPr>
          <w:p>
            <w:pPr>
              <w:spacing w:after="0" w:line="240" w:lineRule="auto"/>
            </w:pPr>
            <w:r>
              <w:rPr>
                <w:b/>
                <w:color w:val="FFFFFF"/>
                <w:sz w:val="16"/>
              </w:rPr>
              <w:t xml:space="preserve">Item</w:t>
            </w:r>
          </w:p>
        </w:tc>
        <w:tc>
          <w:tcPr>
            <w:tcW w:type="dxa" w:w="6236"/>
            <w:shd w:val="clear" w:color="auto" w:fill="12304A"/>
            <w:tcMar>
              <w:top w:w="80" w:type="dxa"/>
              <w:start w:w="90" w:type="dxa"/>
              <w:bottom w:w="80" w:type="dxa"/>
              <w:end w:w="90" w:type="dxa"/>
            </w:tcMar>
            <w:vAlign w:val="center"/>
          </w:tcPr>
          <w:p>
            <w:pPr>
              <w:spacing w:after="0" w:line="240" w:lineRule="auto"/>
            </w:pPr>
            <w:r>
              <w:rPr>
                <w:b/>
                <w:color w:val="FFFFFF"/>
                <w:sz w:val="16"/>
              </w:rPr>
              <w:t xml:space="preserve">Detail</w:t>
            </w:r>
          </w:p>
        </w:tc>
        <w:tc>
          <w:tcPr>
            <w:tcW w:type="dxa" w:w="1400"/>
            <w:shd w:val="clear" w:color="auto" w:fill="12304A"/>
            <w:tcMar>
              <w:top w:w="80" w:type="dxa"/>
              <w:start w:w="90" w:type="dxa"/>
              <w:bottom w:w="80" w:type="dxa"/>
              <w:end w:w="90" w:type="dxa"/>
            </w:tcMar>
            <w:vAlign w:val="center"/>
          </w:tcPr>
          <w:p>
            <w:pPr>
              <w:spacing w:after="0" w:line="240" w:lineRule="auto"/>
            </w:pPr>
            <w:r>
              <w:rPr>
                <w:b/>
                <w:color w:val="FFFFFF"/>
                <w:sz w:val="16"/>
              </w:rPr>
              <w:t xml:space="preserve">Source</w:t>
            </w:r>
          </w:p>
        </w:tc>
      </w:tr>
      <w:tr>
        <w:trPr>
          <w:cantSplit/>
        </w:trPr>
        <w:tc>
          <w:tcPr>
            <w:tcW w:type="dxa" w:w="2300"/>
            <w:tcMar>
              <w:top w:w="80" w:type="dxa"/>
              <w:start w:w="90" w:type="dxa"/>
              <w:bottom w:w="80" w:type="dxa"/>
              <w:end w:w="90" w:type="dxa"/>
            </w:tcMar>
            <w:vAlign w:val="center"/>
          </w:tcPr>
          <w:p>
            <w:pPr>
              <w:spacing w:after="0" w:line="240" w:lineRule="auto"/>
            </w:pPr>
            <w:r>
              <w:rPr>
                <w:b/>
                <w:color w:val="12304A"/>
                <w:sz w:val="16"/>
              </w:rPr>
              <w:t xml:space="preserve">Debt at Mar. 31, 2026</w:t>
            </w:r>
          </w:p>
        </w:tc>
        <w:tc>
          <w:tcPr>
            <w:tcW w:type="dxa" w:w="6236"/>
            <w:tcMar>
              <w:top w:w="80" w:type="dxa"/>
              <w:start w:w="90" w:type="dxa"/>
              <w:bottom w:w="80" w:type="dxa"/>
              <w:end w:w="90" w:type="dxa"/>
            </w:tcMar>
            <w:vAlign w:val="center"/>
          </w:tcPr>
          <w:p>
            <w:pPr>
              <w:spacing w:after="0" w:line="240" w:lineRule="auto"/>
            </w:pPr>
            <w:r>
              <w:rPr>
                <w:color w:val="182633"/>
                <w:sz w:val="16"/>
              </w:rPr>
              <w:t xml:space="preserve">Term loan $55.9M principal ($54.8M carrying). Convertible note at $90.0M fair value; ~$52M of Dialectic’s term debt was exchanged into it (agreed Sep. 2025). Fair value includes the conversion right, so it is above the amount owed.</w:t>
            </w:r>
          </w:p>
        </w:tc>
        <w:tc>
          <w:tcPr>
            <w:tcW w:type="dxa" w:w="1400"/>
            <w:tcMar>
              <w:top w:w="80" w:type="dxa"/>
              <w:start w:w="90" w:type="dxa"/>
              <w:bottom w:w="80" w:type="dxa"/>
              <w:end w:w="90" w:type="dxa"/>
            </w:tcMar>
            <w:vAlign w:val="center"/>
          </w:tcPr>
          <w:p>
            <w:pPr>
              <w:spacing w:after="0" w:line="240" w:lineRule="auto"/>
            </w:pPr>
            <w:r>
              <w:rPr>
                <w:color w:val="182633"/>
                <w:sz w:val="16"/>
              </w:rPr>
              <w:t xml:space="preserve">[2][6][36]</w:t>
            </w:r>
          </w:p>
        </w:tc>
      </w:tr>
      <w:tr>
        <w:trPr>
          <w:cantSplit/>
        </w:trPr>
        <w:tc>
          <w:tcPr>
            <w:tcW w:type="dxa" w:w="2300"/>
            <w:shd w:val="clear" w:color="auto" w:fill="F5F7F9"/>
            <w:tcMar>
              <w:top w:w="80" w:type="dxa"/>
              <w:start w:w="90" w:type="dxa"/>
              <w:bottom w:w="80" w:type="dxa"/>
              <w:end w:w="90" w:type="dxa"/>
            </w:tcMar>
            <w:vAlign w:val="center"/>
          </w:tcPr>
          <w:p>
            <w:pPr>
              <w:spacing w:after="0" w:line="240" w:lineRule="auto"/>
            </w:pPr>
            <w:r>
              <w:rPr>
                <w:b/>
                <w:color w:val="12304A"/>
                <w:sz w:val="16"/>
              </w:rPr>
              <w:t xml:space="preserve">Private placement (PIPE)</w:t>
            </w:r>
          </w:p>
        </w:tc>
        <w:tc>
          <w:tcPr>
            <w:tcW w:type="dxa" w:w="6236"/>
            <w:shd w:val="clear" w:color="auto" w:fill="F5F7F9"/>
            <w:tcMar>
              <w:top w:w="80" w:type="dxa"/>
              <w:start w:w="90" w:type="dxa"/>
              <w:bottom w:w="80" w:type="dxa"/>
              <w:end w:w="90" w:type="dxa"/>
            </w:tcMar>
            <w:vAlign w:val="center"/>
          </w:tcPr>
          <w:p>
            <w:pPr>
              <w:spacing w:after="0" w:line="240" w:lineRule="auto"/>
            </w:pPr>
            <w:r>
              <w:rPr>
                <w:color w:val="182633"/>
                <w:sz w:val="16"/>
              </w:rPr>
              <w:t xml:space="preserve">10.6M shares at $9.42; $100M gross, $94.6M net. Led by Two Seas and Oaktree</w:t>
            </w:r>
          </w:p>
        </w:tc>
        <w:tc>
          <w:tcPr>
            <w:tcW w:type="dxa" w:w="1400"/>
            <w:shd w:val="clear" w:color="auto" w:fill="F5F7F9"/>
            <w:tcMar>
              <w:top w:w="80" w:type="dxa"/>
              <w:start w:w="90" w:type="dxa"/>
              <w:bottom w:w="80" w:type="dxa"/>
              <w:end w:w="90" w:type="dxa"/>
            </w:tcMar>
            <w:vAlign w:val="center"/>
          </w:tcPr>
          <w:p>
            <w:pPr>
              <w:spacing w:after="0" w:line="240" w:lineRule="auto"/>
            </w:pPr>
            <w:r>
              <w:rPr>
                <w:color w:val="182633"/>
                <w:sz w:val="16"/>
              </w:rPr>
              <w:t xml:space="preserve">[2][8]</w:t>
            </w:r>
          </w:p>
        </w:tc>
      </w:tr>
      <w:tr>
        <w:trPr>
          <w:cantSplit/>
        </w:trPr>
        <w:tc>
          <w:tcPr>
            <w:tcW w:type="dxa" w:w="2300"/>
            <w:tcMar>
              <w:top w:w="80" w:type="dxa"/>
              <w:start w:w="90" w:type="dxa"/>
              <w:bottom w:w="80" w:type="dxa"/>
              <w:end w:w="90" w:type="dxa"/>
            </w:tcMar>
            <w:vAlign w:val="center"/>
          </w:tcPr>
          <w:p>
            <w:pPr>
              <w:spacing w:after="0" w:line="240" w:lineRule="auto"/>
            </w:pPr>
            <w:r>
              <w:rPr>
                <w:b/>
                <w:color w:val="12304A"/>
                <w:sz w:val="16"/>
              </w:rPr>
              <w:t xml:space="preserve">Note conversion (Dialectic)</w:t>
            </w:r>
          </w:p>
        </w:tc>
        <w:tc>
          <w:tcPr>
            <w:tcW w:type="dxa" w:w="6236"/>
            <w:tcMar>
              <w:top w:w="80" w:type="dxa"/>
              <w:start w:w="90" w:type="dxa"/>
              <w:bottom w:w="80" w:type="dxa"/>
              <w:end w:w="90" w:type="dxa"/>
            </w:tcMar>
            <w:vAlign w:val="center"/>
          </w:tcPr>
          <w:p>
            <w:pPr>
              <w:spacing w:after="0" w:line="240" w:lineRule="auto"/>
            </w:pPr>
            <w:r>
              <w:rPr>
                <w:color w:val="182633"/>
                <w:sz w:val="16"/>
              </w:rPr>
              <w:t xml:space="preserve">~14.1M shares at $5.194: 11.0M for ~$57.2M of principal and interest, plus 3.08M for future PIK and deferred interest. Issued Dec. 2025 at $10.00. By contract the price reset each quarter (floor $4.00; set by the lower of current price and 30-day average). $5.194 applied after Mar. 31, 2026.</w:t>
            </w:r>
          </w:p>
        </w:tc>
        <w:tc>
          <w:tcPr>
            <w:tcW w:type="dxa" w:w="1400"/>
            <w:tcMar>
              <w:top w:w="80" w:type="dxa"/>
              <w:start w:w="90" w:type="dxa"/>
              <w:bottom w:w="80" w:type="dxa"/>
              <w:end w:w="90" w:type="dxa"/>
            </w:tcMar>
            <w:vAlign w:val="center"/>
          </w:tcPr>
          <w:p>
            <w:pPr>
              <w:spacing w:after="0" w:line="240" w:lineRule="auto"/>
            </w:pPr>
            <w:r>
              <w:rPr>
                <w:color w:val="182633"/>
                <w:sz w:val="16"/>
              </w:rPr>
              <w:t xml:space="preserve">[2][8][18]</w:t>
            </w:r>
          </w:p>
        </w:tc>
      </w:tr>
      <w:tr>
        <w:trPr>
          <w:cantSplit/>
        </w:trPr>
        <w:tc>
          <w:tcPr>
            <w:tcW w:type="dxa" w:w="2300"/>
            <w:shd w:val="clear" w:color="auto" w:fill="F5F7F9"/>
            <w:tcMar>
              <w:top w:w="80" w:type="dxa"/>
              <w:start w:w="90" w:type="dxa"/>
              <w:bottom w:w="80" w:type="dxa"/>
              <w:end w:w="90" w:type="dxa"/>
            </w:tcMar>
            <w:vAlign w:val="center"/>
          </w:tcPr>
          <w:p>
            <w:pPr>
              <w:spacing w:after="0" w:line="240" w:lineRule="auto"/>
            </w:pPr>
            <w:r>
              <w:rPr>
                <w:b/>
                <w:color w:val="12304A"/>
                <w:sz w:val="16"/>
              </w:rPr>
              <w:t xml:space="preserve">Warrants (Dialectic)</w:t>
            </w:r>
          </w:p>
        </w:tc>
        <w:tc>
          <w:tcPr>
            <w:tcW w:type="dxa" w:w="6236"/>
            <w:shd w:val="clear" w:color="auto" w:fill="F5F7F9"/>
            <w:tcMar>
              <w:top w:w="80" w:type="dxa"/>
              <w:start w:w="90" w:type="dxa"/>
              <w:bottom w:w="80" w:type="dxa"/>
              <w:end w:w="90" w:type="dxa"/>
            </w:tcMar>
            <w:vAlign w:val="center"/>
          </w:tcPr>
          <w:p>
            <w:pPr>
              <w:spacing w:after="0" w:line="240" w:lineRule="auto"/>
            </w:pPr>
            <w:r>
              <w:rPr>
                <w:color w:val="182633"/>
                <w:sz w:val="16"/>
              </w:rPr>
              <w:t xml:space="preserve">~2.76M shares at $5.194: a 2,653,308-share forbearance warrant (Sep. 2025, repriced Jun. 2026) plus a 105,911-share conversion warrant</w:t>
            </w:r>
          </w:p>
        </w:tc>
        <w:tc>
          <w:tcPr>
            <w:tcW w:type="dxa" w:w="1400"/>
            <w:shd w:val="clear" w:color="auto" w:fill="F5F7F9"/>
            <w:tcMar>
              <w:top w:w="80" w:type="dxa"/>
              <w:start w:w="90" w:type="dxa"/>
              <w:bottom w:w="80" w:type="dxa"/>
              <w:end w:w="90" w:type="dxa"/>
            </w:tcMar>
            <w:vAlign w:val="center"/>
          </w:tcPr>
          <w:p>
            <w:pPr>
              <w:spacing w:after="0" w:line="240" w:lineRule="auto"/>
            </w:pPr>
            <w:r>
              <w:rPr>
                <w:color w:val="182633"/>
                <w:sz w:val="16"/>
              </w:rPr>
              <w:t xml:space="preserve">[2][18]</w:t>
            </w:r>
          </w:p>
        </w:tc>
      </w:tr>
      <w:tr>
        <w:trPr>
          <w:cantSplit/>
        </w:trPr>
        <w:tc>
          <w:tcPr>
            <w:tcW w:type="dxa" w:w="2300"/>
            <w:tcMar>
              <w:top w:w="80" w:type="dxa"/>
              <w:start w:w="90" w:type="dxa"/>
              <w:bottom w:w="80" w:type="dxa"/>
              <w:end w:w="90" w:type="dxa"/>
            </w:tcMar>
            <w:vAlign w:val="center"/>
          </w:tcPr>
          <w:p>
            <w:pPr>
              <w:spacing w:after="0" w:line="240" w:lineRule="auto"/>
            </w:pPr>
            <w:r>
              <w:rPr>
                <w:b/>
                <w:color w:val="12304A"/>
                <w:sz w:val="16"/>
              </w:rPr>
              <w:t xml:space="preserve">Shares outstanding</w:t>
            </w:r>
          </w:p>
        </w:tc>
        <w:tc>
          <w:tcPr>
            <w:tcW w:type="dxa" w:w="6236"/>
            <w:tcMar>
              <w:top w:w="80" w:type="dxa"/>
              <w:start w:w="90" w:type="dxa"/>
              <w:bottom w:w="80" w:type="dxa"/>
              <w:end w:w="90" w:type="dxa"/>
            </w:tcMar>
            <w:vAlign w:val="center"/>
          </w:tcPr>
          <w:p>
            <w:pPr>
              <w:spacing w:after="0" w:line="240" w:lineRule="auto"/>
            </w:pPr>
            <w:r>
              <w:rPr>
                <w:color w:val="182633"/>
                <w:sz w:val="16"/>
              </w:rPr>
              <w:t xml:space="preserve">6.96M (Mar. 31, 2025); 14.64M (Mar. 31, 2026); 39.38M (Jun. 30, 2026); 39.41M at Aug. 6</w:t>
            </w:r>
          </w:p>
        </w:tc>
        <w:tc>
          <w:tcPr>
            <w:tcW w:type="dxa" w:w="1400"/>
            <w:tcMar>
              <w:top w:w="80" w:type="dxa"/>
              <w:start w:w="90" w:type="dxa"/>
              <w:bottom w:w="80" w:type="dxa"/>
              <w:end w:w="90" w:type="dxa"/>
            </w:tcMar>
            <w:vAlign w:val="center"/>
          </w:tcPr>
          <w:p>
            <w:pPr>
              <w:spacing w:after="0" w:line="240" w:lineRule="auto"/>
            </w:pPr>
            <w:r>
              <w:rPr>
                <w:color w:val="182633"/>
                <w:sz w:val="16"/>
              </w:rPr>
              <w:t xml:space="preserve">[2][33]</w:t>
            </w:r>
          </w:p>
        </w:tc>
      </w:tr>
      <w:tr>
        <w:trPr>
          <w:cantSplit/>
        </w:trPr>
        <w:tc>
          <w:tcPr>
            <w:tcW w:type="dxa" w:w="2300"/>
            <w:shd w:val="clear" w:color="auto" w:fill="F5F7F9"/>
            <w:tcMar>
              <w:top w:w="80" w:type="dxa"/>
              <w:start w:w="90" w:type="dxa"/>
              <w:bottom w:w="80" w:type="dxa"/>
              <w:end w:w="90" w:type="dxa"/>
            </w:tcMar>
            <w:vAlign w:val="center"/>
          </w:tcPr>
          <w:p>
            <w:pPr>
              <w:spacing w:after="0" w:line="240" w:lineRule="auto"/>
            </w:pPr>
            <w:r>
              <w:rPr>
                <w:b/>
                <w:color w:val="12304A"/>
                <w:sz w:val="16"/>
              </w:rPr>
              <w:t xml:space="preserve">Equity line (SEPA)</w:t>
            </w:r>
          </w:p>
        </w:tc>
        <w:tc>
          <w:tcPr>
            <w:tcW w:type="dxa" w:w="6236"/>
            <w:shd w:val="clear" w:color="auto" w:fill="F5F7F9"/>
            <w:tcMar>
              <w:top w:w="80" w:type="dxa"/>
              <w:start w:w="90" w:type="dxa"/>
              <w:bottom w:w="80" w:type="dxa"/>
              <w:end w:w="90" w:type="dxa"/>
            </w:tcMar>
            <w:vAlign w:val="center"/>
          </w:tcPr>
          <w:p>
            <w:pPr>
              <w:spacing w:after="0" w:line="240" w:lineRule="auto"/>
            </w:pPr>
            <w:r>
              <w:rPr>
                <w:color w:val="182633"/>
                <w:sz w:val="16"/>
              </w:rPr>
              <w:t xml:space="preserve">Signed Jan. 2025: up to $200M over three years. ~7.5M shares sold (~$82.8M net) by Nov. 2025. Current status not confirmed</w:t>
            </w:r>
          </w:p>
        </w:tc>
        <w:tc>
          <w:tcPr>
            <w:tcW w:type="dxa" w:w="1400"/>
            <w:shd w:val="clear" w:color="auto" w:fill="F5F7F9"/>
            <w:tcMar>
              <w:top w:w="80" w:type="dxa"/>
              <w:start w:w="90" w:type="dxa"/>
              <w:bottom w:w="80" w:type="dxa"/>
              <w:end w:w="90" w:type="dxa"/>
            </w:tcMar>
            <w:vAlign w:val="center"/>
          </w:tcPr>
          <w:p>
            <w:pPr>
              <w:spacing w:after="0" w:line="240" w:lineRule="auto"/>
            </w:pPr>
            <w:r>
              <w:rPr>
                <w:color w:val="182633"/>
                <w:sz w:val="16"/>
              </w:rPr>
              <w:t xml:space="preserve">[33]</w:t>
            </w:r>
          </w:p>
        </w:tc>
      </w:tr>
      <w:tr>
        <w:trPr>
          <w:cantSplit/>
        </w:trPr>
        <w:tc>
          <w:tcPr>
            <w:tcW w:type="dxa" w:w="2300"/>
            <w:tcMar>
              <w:top w:w="80" w:type="dxa"/>
              <w:start w:w="90" w:type="dxa"/>
              <w:bottom w:w="80" w:type="dxa"/>
              <w:end w:w="90" w:type="dxa"/>
            </w:tcMar>
            <w:vAlign w:val="center"/>
          </w:tcPr>
          <w:p>
            <w:pPr>
              <w:spacing w:after="0" w:line="240" w:lineRule="auto"/>
            </w:pPr>
            <w:r>
              <w:rPr>
                <w:b/>
                <w:color w:val="12304A"/>
                <w:sz w:val="16"/>
              </w:rPr>
              <w:t xml:space="preserve">Credit line</w:t>
            </w:r>
          </w:p>
        </w:tc>
        <w:tc>
          <w:tcPr>
            <w:tcW w:type="dxa" w:w="6236"/>
            <w:tcMar>
              <w:top w:w="80" w:type="dxa"/>
              <w:start w:w="90" w:type="dxa"/>
              <w:bottom w:w="80" w:type="dxa"/>
              <w:end w:w="90" w:type="dxa"/>
            </w:tcMar>
            <w:vAlign w:val="center"/>
          </w:tcPr>
          <w:p>
            <w:pPr>
              <w:spacing w:after="0" w:line="240" w:lineRule="auto"/>
            </w:pPr>
            <w:r>
              <w:rPr>
                <w:color w:val="182633"/>
                <w:sz w:val="16"/>
              </w:rPr>
              <w:t xml:space="preserve">PNC revolving line (up to $40M) terminated Aug. 13, 2025. None in place</w:t>
            </w:r>
          </w:p>
        </w:tc>
        <w:tc>
          <w:tcPr>
            <w:tcW w:type="dxa" w:w="1400"/>
            <w:tcMar>
              <w:top w:w="80" w:type="dxa"/>
              <w:start w:w="90" w:type="dxa"/>
              <w:bottom w:w="80" w:type="dxa"/>
              <w:end w:w="90" w:type="dxa"/>
            </w:tcMar>
            <w:vAlign w:val="center"/>
          </w:tcPr>
          <w:p>
            <w:pPr>
              <w:spacing w:after="0" w:line="240" w:lineRule="auto"/>
            </w:pPr>
            <w:r>
              <w:rPr>
                <w:color w:val="182633"/>
                <w:sz w:val="16"/>
              </w:rPr>
              <w:t xml:space="preserve">[2]</w:t>
            </w:r>
          </w:p>
        </w:tc>
      </w:tr>
      <w:tr>
        <w:trPr>
          <w:cantSplit/>
        </w:trPr>
        <w:tc>
          <w:tcPr>
            <w:tcW w:type="dxa" w:w="2300"/>
            <w:shd w:val="clear" w:color="auto" w:fill="F5F7F9"/>
            <w:tcMar>
              <w:top w:w="80" w:type="dxa"/>
              <w:start w:w="90" w:type="dxa"/>
              <w:bottom w:w="80" w:type="dxa"/>
              <w:end w:w="90" w:type="dxa"/>
            </w:tcMar>
            <w:vAlign w:val="center"/>
          </w:tcPr>
          <w:p>
            <w:pPr>
              <w:spacing w:after="0" w:line="240" w:lineRule="auto"/>
            </w:pPr>
            <w:r>
              <w:rPr>
                <w:b/>
                <w:color w:val="12304A"/>
                <w:sz w:val="16"/>
              </w:rPr>
              <w:t xml:space="preserve">Ownership</w:t>
            </w:r>
          </w:p>
        </w:tc>
        <w:tc>
          <w:tcPr>
            <w:tcW w:type="dxa" w:w="6236"/>
            <w:shd w:val="clear" w:color="auto" w:fill="F5F7F9"/>
            <w:tcMar>
              <w:top w:w="80" w:type="dxa"/>
              <w:start w:w="90" w:type="dxa"/>
              <w:bottom w:w="80" w:type="dxa"/>
              <w:end w:w="90" w:type="dxa"/>
            </w:tcMar>
            <w:vAlign w:val="center"/>
          </w:tcPr>
          <w:p>
            <w:pPr>
              <w:spacing w:after="0" w:line="240" w:lineRule="auto"/>
            </w:pPr>
            <w:r>
              <w:rPr>
                <w:color w:val="182633"/>
                <w:sz w:val="16"/>
              </w:rPr>
              <w:t xml:space="preserve">Dialectic 40.0% (16.86M shares incl. 2.76M warrants); its manager, John A. Fichthorn, is a director</w:t>
            </w:r>
          </w:p>
        </w:tc>
        <w:tc>
          <w:tcPr>
            <w:tcW w:type="dxa" w:w="1400"/>
            <w:shd w:val="clear" w:color="auto" w:fill="F5F7F9"/>
            <w:tcMar>
              <w:top w:w="80" w:type="dxa"/>
              <w:start w:w="90" w:type="dxa"/>
              <w:bottom w:w="80" w:type="dxa"/>
              <w:end w:w="90" w:type="dxa"/>
            </w:tcMar>
            <w:vAlign w:val="center"/>
          </w:tcPr>
          <w:p>
            <w:pPr>
              <w:spacing w:after="0" w:line="240" w:lineRule="auto"/>
            </w:pPr>
            <w:r>
              <w:rPr>
                <w:color w:val="182633"/>
                <w:sz w:val="16"/>
              </w:rPr>
              <w:t xml:space="preserve">[18]</w:t>
            </w:r>
          </w:p>
        </w:tc>
      </w:tr>
      <w:tr>
        <w:trPr>
          <w:cantSplit/>
        </w:trPr>
        <w:tc>
          <w:tcPr>
            <w:tcW w:type="dxa" w:w="2300"/>
            <w:tcMar>
              <w:top w:w="80" w:type="dxa"/>
              <w:start w:w="90" w:type="dxa"/>
              <w:bottom w:w="80" w:type="dxa"/>
              <w:end w:w="90" w:type="dxa"/>
            </w:tcMar>
            <w:vAlign w:val="center"/>
          </w:tcPr>
          <w:p>
            <w:pPr>
              <w:spacing w:after="0" w:line="240" w:lineRule="auto"/>
            </w:pPr>
            <w:r>
              <w:rPr>
                <w:b/>
                <w:color w:val="12304A"/>
                <w:sz w:val="16"/>
              </w:rPr>
              <w:t xml:space="preserve">Overhang</w:t>
            </w:r>
          </w:p>
        </w:tc>
        <w:tc>
          <w:tcPr>
            <w:tcW w:type="dxa" w:w="6236"/>
            <w:tcMar>
              <w:top w:w="80" w:type="dxa"/>
              <w:start w:w="90" w:type="dxa"/>
              <w:bottom w:w="80" w:type="dxa"/>
              <w:end w:w="90" w:type="dxa"/>
            </w:tcMar>
            <w:vAlign w:val="center"/>
          </w:tcPr>
          <w:p>
            <w:pPr>
              <w:spacing w:after="0" w:line="240" w:lineRule="auto"/>
            </w:pPr>
            <w:r>
              <w:rPr>
                <w:color w:val="182633"/>
                <w:sz w:val="16"/>
              </w:rPr>
              <w:t xml:space="preserve">~13.8M shares registered for resale. A six-month right of first refusal covers 25% of new equity (to Dec. 1, 2026 or the next financing)</w:t>
            </w:r>
          </w:p>
        </w:tc>
        <w:tc>
          <w:tcPr>
            <w:tcW w:type="dxa" w:w="1400"/>
            <w:tcMar>
              <w:top w:w="80" w:type="dxa"/>
              <w:start w:w="90" w:type="dxa"/>
              <w:bottom w:w="80" w:type="dxa"/>
              <w:end w:w="90" w:type="dxa"/>
            </w:tcMar>
            <w:vAlign w:val="center"/>
          </w:tcPr>
          <w:p>
            <w:pPr>
              <w:spacing w:after="0" w:line="240" w:lineRule="auto"/>
            </w:pPr>
            <w:r>
              <w:rPr>
                <w:color w:val="182633"/>
                <w:sz w:val="16"/>
              </w:rPr>
              <w:t xml:space="preserve">[8][9]</w:t>
            </w:r>
          </w:p>
        </w:tc>
      </w:tr>
      <w:tr>
        <w:trPr>
          <w:cantSplit/>
        </w:trPr>
        <w:tc>
          <w:tcPr>
            <w:tcW w:type="dxa" w:w="2300"/>
            <w:shd w:val="clear" w:color="auto" w:fill="F5F7F9"/>
            <w:tcMar>
              <w:top w:w="80" w:type="dxa"/>
              <w:start w:w="90" w:type="dxa"/>
              <w:bottom w:w="80" w:type="dxa"/>
              <w:end w:w="90" w:type="dxa"/>
            </w:tcMar>
            <w:vAlign w:val="center"/>
          </w:tcPr>
          <w:p>
            <w:pPr>
              <w:spacing w:after="0" w:line="240" w:lineRule="auto"/>
            </w:pPr>
            <w:r>
              <w:rPr>
                <w:b/>
                <w:color w:val="12304A"/>
                <w:sz w:val="16"/>
              </w:rPr>
              <w:t xml:space="preserve">Short interest</w:t>
            </w:r>
          </w:p>
        </w:tc>
        <w:tc>
          <w:tcPr>
            <w:tcW w:type="dxa" w:w="6236"/>
            <w:shd w:val="clear" w:color="auto" w:fill="F5F7F9"/>
            <w:tcMar>
              <w:top w:w="80" w:type="dxa"/>
              <w:start w:w="90" w:type="dxa"/>
              <w:bottom w:w="80" w:type="dxa"/>
              <w:end w:w="90" w:type="dxa"/>
            </w:tcMar>
            <w:vAlign w:val="center"/>
          </w:tcPr>
          <w:p>
            <w:pPr>
              <w:spacing w:after="0" w:line="240" w:lineRule="auto"/>
            </w:pPr>
            <w:r>
              <w:rPr>
                <w:color w:val="182633"/>
                <w:sz w:val="16"/>
              </w:rPr>
              <w:t xml:space="preserve">~3.12M shares (Sep. 30, 2026); ~7.9% of shares outstanding; ~1.7 days of average volume</w:t>
            </w:r>
          </w:p>
        </w:tc>
        <w:tc>
          <w:tcPr>
            <w:tcW w:type="dxa" w:w="1400"/>
            <w:shd w:val="clear" w:color="auto" w:fill="F5F7F9"/>
            <w:tcMar>
              <w:top w:w="80" w:type="dxa"/>
              <w:start w:w="90" w:type="dxa"/>
              <w:bottom w:w="80" w:type="dxa"/>
              <w:end w:w="90" w:type="dxa"/>
            </w:tcMar>
            <w:vAlign w:val="center"/>
          </w:tcPr>
          <w:p>
            <w:pPr>
              <w:spacing w:after="0" w:line="240" w:lineRule="auto"/>
            </w:pPr>
            <w:r>
              <w:rPr>
                <w:color w:val="182633"/>
                <w:sz w:val="16"/>
              </w:rPr>
              <w:t xml:space="preserve">[27][35]</w:t>
            </w:r>
          </w:p>
        </w:tc>
      </w:tr>
    </w:tbl>
    <w:p>
      <w:pPr>
        <w:spacing w:after="0"/>
      </w:pPr>
    </w:p>
    <w:p>
      <w:r>
        <w:rPr>
          <w:b/>
        </w:rPr>
        <w:t xml:space="preserve">Read-through.</w:t>
      </w:r>
      <w:r>
        <w:t xml:space="preserve"> The balance sheet is repaired, but shareholders paid for it. To match the EPS it would have earned on the March 2026 share count, Quantum now needs ~2.7x the earnings. Against March 2025 it needs ~5.7x. The $5.194 conversion price came from a contract reset in the note, not from the June talks [2]. Still, about $57M of Dialectic’s note (principal and interest) became 11.0M shares, and 3.1M more shares came as extra consideration. At $30.43 the 14.1M shares are worth about $429M. The warrants add about $70M of value. Dialectic’s manager, John A. Fichthorn, is a Quantum director, so these were related-party deals [2][18].</w:t>
      </w:r>
    </w:p>
    <w:p>
      <w:r>
        <w:rPr>
          <w:b/>
        </w:rPr>
        <w:t xml:space="preserve">Liquidity.</w:t>
      </w:r>
      <w:r>
        <w:t xml:space="preserve"> Cash was $54.6M at June 30. There is no credit line; the PNC line was terminated in August 2025. Non-cancelable purchase commitments were $142.6M. These are orders for inventory, not debt, but they will use cash as goods arrive. Deferred revenue of $115.1M (service paid in advance) helps [2].</w:t>
      </w:r>
    </w:p>
    <w:p>
      <w:pPr>
        <w:pStyle w:val="Heading1"/>
      </w:pPr>
      <w:r>
        <w:t xml:space="preserve">3. Valuation: what the price implies</w:t>
      </w:r>
    </w:p>
    <w:p>
      <w:r>
        <w:t xml:space="preserve">Method: market-implied expectations (Mauboussin and Rappaport). Step one, solve for the growth the price implies. Step two, find which value triggers (sales, costs, investments) are most likely to be revised. Step three, decide whether a revision is more likely up or down.</w:t>
      </w:r>
    </w:p>
    <w:p>
      <w:r>
        <w:rPr>
          <w:b/>
        </w:rPr>
        <w:t xml:space="preserve">Margin assumption.</w:t>
      </w:r>
      <w:r>
        <w:t xml:space="preserve"> I expect Quantum’s operating margin to rise as revenue grows. Q1 already showed this: non-GAAP operating costs fell 16% while revenue rose 26% [5]. Comparing with competitors, that expectation makes sense. So the model ties Quantum’s year-10 margin to what its main listed competitors earn today.</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936"/>
        <w:gridCol w:w="3000"/>
        <w:gridCol w:w="3000"/>
      </w:tblGrid>
      <w:tr>
        <w:trPr>
          <w:tblHeader/>
          <w:cantSplit/>
        </w:trPr>
        <w:tc>
          <w:tcPr>
            <w:tcW w:type="dxa" w:w="39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Company</w:t>
            </w:r>
          </w:p>
        </w:tc>
        <w:tc>
          <w:tcPr>
            <w:tcW w:type="dxa" w:w="3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Gross margin</w:t>
            </w:r>
          </w:p>
        </w:tc>
        <w:tc>
          <w:tcPr>
            <w:tcW w:type="dxa" w:w="3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Operating margin (last 12 months)</w:t>
            </w:r>
          </w:p>
        </w:tc>
      </w:tr>
      <w:tr>
        <w:trPr>
          <w:cantSplit/>
        </w:trPr>
        <w:tc>
          <w:tcPr>
            <w:tcW w:type="dxa" w:w="3936"/>
            <w:tcMar>
              <w:top w:w="80" w:type="dxa"/>
              <w:start w:w="90" w:type="dxa"/>
              <w:bottom w:w="80" w:type="dxa"/>
              <w:end w:w="90" w:type="dxa"/>
            </w:tcMar>
            <w:vAlign w:val="center"/>
          </w:tcPr>
          <w:p>
            <w:pPr>
              <w:keepNext/>
              <w:spacing w:after="0" w:line="240" w:lineRule="auto"/>
            </w:pPr>
            <w:r>
              <w:rPr>
                <w:b/>
                <w:color w:val="12304A"/>
                <w:sz w:val="16"/>
              </w:rPr>
              <w:t xml:space="preserve">Quantum (last 12 months)</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37.8%</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-0.4%</w:t>
            </w:r>
          </w:p>
        </w:tc>
      </w:tr>
      <w:tr>
        <w:trPr>
          <w:cantSplit/>
        </w:trPr>
        <w:tc>
          <w:tcPr>
            <w:tcW w:type="dxa" w:w="39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Quantum (Q1 FY2027)</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39.3%</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6.2%</w:t>
            </w:r>
          </w:p>
        </w:tc>
      </w:tr>
      <w:tr>
        <w:trPr>
          <w:cantSplit/>
        </w:trPr>
        <w:tc>
          <w:tcPr>
            <w:tcW w:type="dxa" w:w="3936"/>
            <w:tcMar>
              <w:top w:w="80" w:type="dxa"/>
              <w:start w:w="90" w:type="dxa"/>
              <w:bottom w:w="80" w:type="dxa"/>
              <w:end w:w="90" w:type="dxa"/>
            </w:tcMar>
            <w:vAlign w:val="center"/>
          </w:tcPr>
          <w:p>
            <w:pPr>
              <w:keepNext/>
              <w:spacing w:after="0" w:line="240" w:lineRule="auto"/>
            </w:pPr>
            <w:r>
              <w:rPr>
                <w:b/>
                <w:color w:val="12304A"/>
                <w:sz w:val="16"/>
              </w:rPr>
              <w:t xml:space="preserve">HPE</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36.6%</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8.1%</w:t>
            </w:r>
          </w:p>
        </w:tc>
      </w:tr>
      <w:tr>
        <w:trPr>
          <w:cantSplit/>
        </w:trPr>
        <w:tc>
          <w:tcPr>
            <w:tcW w:type="dxa" w:w="39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Dell</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19.9%</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9.9%</w:t>
            </w:r>
          </w:p>
        </w:tc>
      </w:tr>
      <w:tr>
        <w:trPr>
          <w:cantSplit/>
        </w:trPr>
        <w:tc>
          <w:tcPr>
            <w:tcW w:type="dxa" w:w="3936"/>
            <w:tcMar>
              <w:top w:w="80" w:type="dxa"/>
              <w:start w:w="90" w:type="dxa"/>
              <w:bottom w:w="80" w:type="dxa"/>
              <w:end w:w="90" w:type="dxa"/>
            </w:tcMar>
            <w:vAlign w:val="center"/>
          </w:tcPr>
          <w:p>
            <w:pPr>
              <w:keepNext/>
              <w:spacing w:after="0" w:line="240" w:lineRule="auto"/>
            </w:pPr>
            <w:r>
              <w:rPr>
                <w:b/>
                <w:color w:val="12304A"/>
                <w:sz w:val="16"/>
              </w:rPr>
              <w:t xml:space="preserve">IBM</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58.1%</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18.5%</w:t>
            </w:r>
          </w:p>
        </w:tc>
      </w:tr>
      <w:tr>
        <w:trPr>
          <w:cantSplit/>
        </w:trPr>
        <w:tc>
          <w:tcPr>
            <w:tcW w:type="dxa" w:w="39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NetApp</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70.6%</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26.0%</w:t>
            </w:r>
          </w:p>
        </w:tc>
      </w:tr>
      <w:tr>
        <w:trPr>
          <w:cantSplit/>
        </w:trPr>
        <w:tc>
          <w:tcPr>
            <w:tcW w:type="dxa" w:w="3936"/>
            <w:tcMar>
              <w:top w:w="80" w:type="dxa"/>
              <w:start w:w="90" w:type="dxa"/>
              <w:bottom w:w="80" w:type="dxa"/>
              <w:end w:w="90" w:type="dxa"/>
            </w:tcMar>
            <w:vAlign w:val="center"/>
          </w:tcPr>
          <w:p>
            <w:pPr>
              <w:spacing w:after="0" w:line="240" w:lineRule="auto"/>
            </w:pPr>
            <w:r>
              <w:rPr>
                <w:b/>
                <w:color w:val="12304A"/>
                <w:sz w:val="16"/>
              </w:rPr>
              <w:t xml:space="preserve">Median of the four competitors</w:t>
            </w:r>
          </w:p>
        </w:tc>
        <w:tc>
          <w:tcPr>
            <w:tcW w:type="dxa" w:w="3000"/>
            <w:tcMar>
              <w:top w:w="80" w:type="dxa"/>
              <w:start w:w="90" w:type="dxa"/>
              <w:bottom w:w="80" w:type="dxa"/>
              <w:end w:w="90" w:type="dxa"/>
            </w:tcMar>
            <w:vAlign w:val="center"/>
          </w:tcPr>
          <w:p>
            <w:pPr>
              <w:spacing w:after="0" w:line="240" w:lineRule="auto"/>
            </w:pPr>
            <w:r>
              <w:rPr>
                <w:color w:val="182633"/>
                <w:sz w:val="16"/>
              </w:rPr>
              <w:t xml:space="preserve"/>
            </w:r>
          </w:p>
        </w:tc>
        <w:tc>
          <w:tcPr>
            <w:tcW w:type="dxa" w:w="3000"/>
            <w:tcMar>
              <w:top w:w="80" w:type="dxa"/>
              <w:start w:w="90" w:type="dxa"/>
              <w:bottom w:w="80" w:type="dxa"/>
              <w:end w:w="90" w:type="dxa"/>
            </w:tcMar>
            <w:vAlign w:val="center"/>
          </w:tcPr>
          <w:p>
            <w:pPr>
              <w:spacing w:after="0" w:line="240" w:lineRule="auto"/>
            </w:pPr>
            <w:r>
              <w:rPr>
                <w:color w:val="182633"/>
                <w:sz w:val="16"/>
              </w:rPr>
              <w:t xml:space="preserve">~14%</w:t>
            </w:r>
          </w:p>
        </w:tc>
      </w:tr>
    </w:tbl>
    <w:p>
      <w:pPr>
        <w:spacing w:after="0"/>
      </w:pPr>
    </w:p>
    <w:p>
      <w:pPr>
        <w:pStyle w:val="SmallNote"/>
      </w:pPr>
      <w:r>
        <w:t xml:space="preserve">GAAP margins from StockAnalysis, checked Oct. 5-12, 2026 [1][35]. Seagate (34.7%) is left out because it makes hard drives and is not a direct rival. Quantum’s gross margin is close to HPE’s and far below IBM’s and NetApp’s.</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600"/>
        <w:gridCol w:w="7336"/>
      </w:tblGrid>
      <w:tr>
        <w:trPr>
          <w:tblHeader/>
          <w:cantSplit/>
        </w:trPr>
        <w:tc>
          <w:tcPr>
            <w:tcW w:type="dxa" w:w="2600"/>
            <w:shd w:val="clear" w:color="auto" w:fill="12304A"/>
            <w:tcMar>
              <w:top w:w="80" w:type="dxa"/>
              <w:start w:w="90" w:type="dxa"/>
              <w:bottom w:w="80" w:type="dxa"/>
              <w:end w:w="90" w:type="dxa"/>
            </w:tcMar>
            <w:vAlign w:val="center"/>
          </w:tcPr>
          <w:p>
            <w:pPr>
              <w:spacing w:after="0" w:line="240" w:lineRule="auto"/>
            </w:pPr>
            <w:r>
              <w:rPr>
                <w:b/>
                <w:color w:val="FFFFFF"/>
                <w:sz w:val="16"/>
              </w:rPr>
              <w:t xml:space="preserve">Input</w:t>
            </w:r>
          </w:p>
        </w:tc>
        <w:tc>
          <w:tcPr>
            <w:tcW w:type="dxa" w:w="7336"/>
            <w:shd w:val="clear" w:color="auto" w:fill="12304A"/>
            <w:tcMar>
              <w:top w:w="80" w:type="dxa"/>
              <w:start w:w="90" w:type="dxa"/>
              <w:bottom w:w="80" w:type="dxa"/>
              <w:end w:w="90" w:type="dxa"/>
            </w:tcMar>
            <w:vAlign w:val="center"/>
          </w:tcPr>
          <w:p>
            <w:pPr>
              <w:spacing w:after="0" w:line="240" w:lineRule="auto"/>
            </w:pPr>
            <w:r>
              <w:rPr>
                <w:b/>
                <w:color w:val="FFFFFF"/>
                <w:sz w:val="16"/>
              </w:rPr>
              <w:t xml:space="preserve">Assumption</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Enterprise value</w:t>
            </w:r>
          </w:p>
        </w:tc>
        <w:tc>
          <w:tcPr>
            <w:tcW w:type="dxa" w:w="7336"/>
            <w:tcMar>
              <w:top w:w="80" w:type="dxa"/>
              <w:start w:w="90" w:type="dxa"/>
              <w:bottom w:w="80" w:type="dxa"/>
              <w:end w:w="90" w:type="dxa"/>
            </w:tcMar>
            <w:vAlign w:val="center"/>
          </w:tcPr>
          <w:p>
            <w:pPr>
              <w:spacing w:after="0" w:line="240" w:lineRule="auto"/>
            </w:pPr>
            <w:r>
              <w:rPr>
                <w:color w:val="182633"/>
                <w:sz w:val="16"/>
              </w:rPr>
              <w:t xml:space="preserve">$1.153B [23]. About $1.22B if the 2.76M in-the-money warrants at $5.194 are included [2].</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Starting revenue</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$328M (Q2 guide midpoint x 4) [5]</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Forecast period / discount rate</w:t>
            </w:r>
          </w:p>
        </w:tc>
        <w:tc>
          <w:tcPr>
            <w:tcW w:type="dxa" w:w="7336"/>
            <w:tcMar>
              <w:top w:w="80" w:type="dxa"/>
              <w:start w:w="90" w:type="dxa"/>
              <w:bottom w:w="80" w:type="dxa"/>
              <w:end w:w="90" w:type="dxa"/>
            </w:tcMar>
            <w:vAlign w:val="center"/>
          </w:tcPr>
          <w:p>
            <w:pPr>
              <w:spacing w:after="0" w:line="240" w:lineRule="auto"/>
            </w:pPr>
            <w:r>
              <w:rPr>
                <w:color w:val="182633"/>
                <w:sz w:val="16"/>
              </w:rPr>
              <w:t xml:space="preserve">10 years / 12% WACC (10% in the generous case)</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EBIT margin</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Rises evenly from 5% today to a competitor level in year 10. Main case: ~14%, the median of Dell, HPE, IBM and NetApp</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Tax / reinvestment</w:t>
            </w:r>
          </w:p>
        </w:tc>
        <w:tc>
          <w:tcPr>
            <w:tcW w:type="dxa" w:w="7336"/>
            <w:tcMar>
              <w:top w:w="80" w:type="dxa"/>
              <w:start w:w="90" w:type="dxa"/>
              <w:bottom w:w="80" w:type="dxa"/>
              <w:end w:w="90" w:type="dxa"/>
            </w:tcMar>
            <w:vAlign w:val="center"/>
          </w:tcPr>
          <w:p>
            <w:pPr>
              <w:spacing w:after="0" w:line="240" w:lineRule="auto"/>
            </w:pPr>
            <w:r>
              <w:rPr>
                <w:color w:val="182633"/>
                <w:sz w:val="16"/>
              </w:rPr>
              <w:t xml:space="preserve">25% cash tax (0% in the generous case); sales-to-capital 2.0x</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Free cash flow</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FCFF(t) = Rev(t) x m(t) x (1 - tax) - [Rev(t) - Rev(t-1)] / 2.0, discounted at year end</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Terminal value (year 10)</w:t>
            </w:r>
          </w:p>
        </w:tc>
        <w:tc>
          <w:tcPr>
            <w:tcW w:type="dxa" w:w="7336"/>
            <w:tcMar>
              <w:top w:w="80" w:type="dxa"/>
              <w:start w:w="90" w:type="dxa"/>
              <w:bottom w:w="80" w:type="dxa"/>
              <w:end w:w="90" w:type="dxa"/>
            </w:tcMar>
            <w:vAlign w:val="center"/>
          </w:tcPr>
          <w:p>
            <w:pPr>
              <w:spacing w:after="0" w:line="240" w:lineRule="auto"/>
            </w:pPr>
            <w:r>
              <w:rPr>
                <w:color w:val="182633"/>
                <w:sz w:val="16"/>
              </w:rPr>
              <w:t xml:space="preserve">[Rev10 x (1+g) x m(T) x (1 - tax) - g x Rev10 / 2.0] / (WACC - g), with g = 3%</w:t>
            </w:r>
          </w:p>
        </w:tc>
      </w:tr>
    </w:tbl>
    <w:p>
      <w:pPr>
        <w:spacing w:after="0"/>
      </w:pPr>
    </w:p>
    <w:p>
      <w:r>
        <w:rPr>
          <w:b/>
        </w:rPr>
        <w:t xml:space="preserve">Result.</w:t>
      </w:r>
      <w:r>
        <w:t xml:space="preserve"> Today’s enterprise value (~$1.15B) only makes sense if Quantum becomes a much larger company. With the margin rising to the competitor median (~14%), revenue must grow about 16% to 29% a year for ten years, depending on the inputs. That means year-10 revenue of roughly $1.4B to $4.1B, or about 5 to 14 times the ~$296M of the last 12 months.</w:t>
      </w:r>
    </w:p>
    <w:p>
      <w:r>
        <w:rPr>
          <w:b/>
        </w:rPr>
        <w:t xml:space="preserve">Why so much growth?</w:t>
      </w:r>
      <w:r>
        <w:t xml:space="preserve"> A company is worth its future cash profits, discounted back to today. Fast growth also uses cash first, for inventory and capacity. So most of the value has to come from the years after the company has grown. To support ~$1.15B today, Quantum must be much larger and profitable by year 10.</w:t>
      </w:r>
    </w:p>
    <w:p>
      <w:r>
        <w:t xml:space="preserve">Including the in-the-money warrants, the growth needed rises slightly (about 30% a year with the report’s inputs). For context, Quantum’s revenue was $412.8M in FY2023 and $279.6M in FY2026 [6][7].</w:t>
      </w:r>
    </w:p>
    <w:p>
      <w:pPr>
        <w:pStyle w:val="SmallNote"/>
      </w:pPr>
      <w:r>
        <w:t xml:space="preserve">Author’s model, re-run for this report. It is simplified. Only verified warrants are counted; other stock awards would add more [2].</w:t>
      </w:r>
    </w:p>
    <w:p>
      <w:pPr>
        <w:pStyle w:val="Heading2"/>
      </w:pPr>
      <w:r>
        <w:t xml:space="preserve">Stress tests: does the conclusion hold?</w:t>
      </w:r>
    </w:p>
    <w:p>
      <w:r>
        <w:t xml:space="preserve">The table shows the yearly revenue growth needed for ten years to justify ~$1.15B at each competitor margin level. The report’s inputs use a 12% discount rate and 25% tax. The generous inputs use 10% and no tax, as if past tax losses cover all tax; ownership changes may limit their use [3].</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936"/>
        <w:gridCol w:w="3000"/>
        <w:gridCol w:w="3000"/>
      </w:tblGrid>
      <w:tr>
        <w:trPr>
          <w:tblHeader/>
          <w:cantSplit/>
        </w:trPr>
        <w:tc>
          <w:tcPr>
            <w:tcW w:type="dxa" w:w="39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Year-10 operating margin</w:t>
            </w:r>
          </w:p>
        </w:tc>
        <w:tc>
          <w:tcPr>
            <w:tcW w:type="dxa" w:w="3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Report inputs (12%, 25% tax)</w:t>
            </w:r>
          </w:p>
        </w:tc>
        <w:tc>
          <w:tcPr>
            <w:tcW w:type="dxa" w:w="3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Generous inputs (10%, no tax)</w:t>
            </w:r>
          </w:p>
        </w:tc>
      </w:tr>
      <w:tr>
        <w:trPr>
          <w:cantSplit/>
        </w:trPr>
        <w:tc>
          <w:tcPr>
            <w:tcW w:type="dxa" w:w="3936"/>
            <w:tcMar>
              <w:top w:w="80" w:type="dxa"/>
              <w:start w:w="90" w:type="dxa"/>
              <w:bottom w:w="80" w:type="dxa"/>
              <w:end w:w="90" w:type="dxa"/>
            </w:tcMar>
            <w:vAlign w:val="center"/>
          </w:tcPr>
          <w:p>
            <w:pPr>
              <w:keepNext/>
              <w:spacing w:after="0" w:line="240" w:lineRule="auto"/>
            </w:pPr>
            <w:r>
              <w:rPr>
                <w:b/>
                <w:color w:val="12304A"/>
                <w:sz w:val="16"/>
              </w:rPr>
              <w:t xml:space="preserve">8% (HPE level)</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~59%</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~28%</w:t>
            </w:r>
          </w:p>
        </w:tc>
      </w:tr>
      <w:tr>
        <w:trPr>
          <w:cantSplit/>
        </w:trPr>
        <w:tc>
          <w:tcPr>
            <w:tcW w:type="dxa" w:w="39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14% (competitor median)</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~29%</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~16%</w:t>
            </w:r>
          </w:p>
        </w:tc>
      </w:tr>
      <w:tr>
        <w:trPr>
          <w:cantSplit/>
        </w:trPr>
        <w:tc>
          <w:tcPr>
            <w:tcW w:type="dxa" w:w="3936"/>
            <w:tcMar>
              <w:top w:w="80" w:type="dxa"/>
              <w:start w:w="90" w:type="dxa"/>
              <w:bottom w:w="80" w:type="dxa"/>
              <w:end w:w="90" w:type="dxa"/>
            </w:tcMar>
            <w:vAlign w:val="center"/>
          </w:tcPr>
          <w:p>
            <w:pPr>
              <w:keepNext/>
              <w:spacing w:after="0" w:line="240" w:lineRule="auto"/>
            </w:pPr>
            <w:r>
              <w:rPr>
                <w:b/>
                <w:color w:val="12304A"/>
                <w:sz w:val="16"/>
              </w:rPr>
              <w:t xml:space="preserve">18.5% (IBM level)</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~22%</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~11%</w:t>
            </w:r>
          </w:p>
        </w:tc>
      </w:tr>
      <w:tr>
        <w:trPr>
          <w:cantSplit/>
        </w:trPr>
        <w:tc>
          <w:tcPr>
            <w:tcW w:type="dxa" w:w="3936"/>
            <w:shd w:val="clear" w:color="auto" w:fill="F5F7F9"/>
            <w:tcMar>
              <w:top w:w="80" w:type="dxa"/>
              <w:start w:w="90" w:type="dxa"/>
              <w:bottom w:w="80" w:type="dxa"/>
              <w:end w:w="90" w:type="dxa"/>
            </w:tcMar>
            <w:vAlign w:val="center"/>
          </w:tcPr>
          <w:p>
            <w:pPr>
              <w:spacing w:after="0" w:line="240" w:lineRule="auto"/>
            </w:pPr>
            <w:r>
              <w:rPr>
                <w:b/>
                <w:color w:val="12304A"/>
                <w:sz w:val="16"/>
              </w:rPr>
              <w:t xml:space="preserve">26% (NetApp level)</w:t>
            </w:r>
          </w:p>
        </w:tc>
        <w:tc>
          <w:tcPr>
            <w:tcW w:type="dxa" w:w="3000"/>
            <w:shd w:val="clear" w:color="auto" w:fill="F5F7F9"/>
            <w:tcMar>
              <w:top w:w="80" w:type="dxa"/>
              <w:start w:w="90" w:type="dxa"/>
              <w:bottom w:w="80" w:type="dxa"/>
              <w:end w:w="90" w:type="dxa"/>
            </w:tcMar>
            <w:vAlign w:val="center"/>
          </w:tcPr>
          <w:p>
            <w:pPr>
              <w:spacing w:after="0" w:line="240" w:lineRule="auto"/>
            </w:pPr>
            <w:r>
              <w:rPr>
                <w:color w:val="182633"/>
                <w:sz w:val="16"/>
              </w:rPr>
              <w:t xml:space="preserve">~15%</w:t>
            </w:r>
          </w:p>
        </w:tc>
        <w:tc>
          <w:tcPr>
            <w:tcW w:type="dxa" w:w="3000"/>
            <w:shd w:val="clear" w:color="auto" w:fill="F5F7F9"/>
            <w:tcMar>
              <w:top w:w="80" w:type="dxa"/>
              <w:start w:w="90" w:type="dxa"/>
              <w:bottom w:w="80" w:type="dxa"/>
              <w:end w:w="90" w:type="dxa"/>
            </w:tcMar>
            <w:vAlign w:val="center"/>
          </w:tcPr>
          <w:p>
            <w:pPr>
              <w:spacing w:after="0" w:line="240" w:lineRule="auto"/>
            </w:pPr>
            <w:r>
              <w:rPr>
                <w:color w:val="182633"/>
                <w:sz w:val="16"/>
              </w:rPr>
              <w:t xml:space="preserve">~6%</w:t>
            </w:r>
          </w:p>
        </w:tc>
      </w:tr>
    </w:tbl>
    <w:p>
      <w:pPr>
        <w:spacing w:after="0"/>
      </w:pPr>
    </w:p>
    <w:p>
      <w:r>
        <w:t xml:space="preserve">Read the table this way. The higher the margin, the less growth Quantum needs. In my view, a margin between HPE’s and IBM’s is a fair expectation. In that range the price needs at least ~11% growth a year for ten years with the generous inputs, and 22% or more with the report’s inputs. Only a NetApp-level margin with the generous inputs works with modest growth. Starting from last-12-month revenue ($296M) instead of the Q2 guide x 4 would raise every figure. The conclusion holds: the price already includes a strong turnaround [1][6][7].</w:t>
      </w:r>
    </w:p>
    <w:p>
      <w:pPr>
        <w:pStyle w:val="Heading2"/>
      </w:pPr>
      <w:r>
        <w:t xml:space="preserve">Which expectations could be revised?</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400"/>
        <w:gridCol w:w="5136"/>
        <w:gridCol w:w="2400"/>
      </w:tblGrid>
      <w:tr>
        <w:trPr>
          <w:tblHeader/>
          <w:cantSplit/>
        </w:trPr>
        <w:tc>
          <w:tcPr>
            <w:tcW w:type="dxa" w:w="2400"/>
            <w:shd w:val="clear" w:color="auto" w:fill="12304A"/>
            <w:tcMar>
              <w:top w:w="80" w:type="dxa"/>
              <w:start w:w="90" w:type="dxa"/>
              <w:bottom w:w="80" w:type="dxa"/>
              <w:end w:w="90" w:type="dxa"/>
            </w:tcMar>
            <w:vAlign w:val="center"/>
          </w:tcPr>
          <w:p>
            <w:pPr>
              <w:spacing w:after="0" w:line="240" w:lineRule="auto"/>
            </w:pPr>
            <w:r>
              <w:rPr>
                <w:b/>
                <w:color w:val="FFFFFF"/>
                <w:sz w:val="16"/>
              </w:rPr>
              <w:t xml:space="preserve">Value trigger / factor</w:t>
            </w:r>
          </w:p>
        </w:tc>
        <w:tc>
          <w:tcPr>
            <w:tcW w:type="dxa" w:w="5136"/>
            <w:shd w:val="clear" w:color="auto" w:fill="12304A"/>
            <w:tcMar>
              <w:top w:w="80" w:type="dxa"/>
              <w:start w:w="90" w:type="dxa"/>
              <w:bottom w:w="80" w:type="dxa"/>
              <w:end w:w="90" w:type="dxa"/>
            </w:tcMar>
            <w:vAlign w:val="center"/>
          </w:tcPr>
          <w:p>
            <w:pPr>
              <w:spacing w:after="0" w:line="240" w:lineRule="auto"/>
            </w:pPr>
            <w:r>
              <w:rPr>
                <w:b/>
                <w:color w:val="FFFFFF"/>
                <w:sz w:val="16"/>
              </w:rPr>
              <w:t xml:space="preserve">QMCO evidence</w:t>
            </w:r>
          </w:p>
        </w:tc>
        <w:tc>
          <w:tcPr>
            <w:tcW w:type="dxa" w:w="2400"/>
            <w:shd w:val="clear" w:color="auto" w:fill="12304A"/>
            <w:tcMar>
              <w:top w:w="80" w:type="dxa"/>
              <w:start w:w="90" w:type="dxa"/>
              <w:bottom w:w="80" w:type="dxa"/>
              <w:end w:w="90" w:type="dxa"/>
            </w:tcMar>
            <w:vAlign w:val="center"/>
          </w:tcPr>
          <w:p>
            <w:pPr>
              <w:spacing w:after="0" w:line="240" w:lineRule="auto"/>
            </w:pPr>
            <w:r>
              <w:rPr>
                <w:b/>
                <w:color w:val="FFFFFF"/>
                <w:sz w:val="16"/>
              </w:rPr>
              <w:t xml:space="preserve">Likely revision</w:t>
            </w:r>
          </w:p>
        </w:tc>
      </w:tr>
      <w:tr>
        <w:trPr>
          <w:cantSplit/>
        </w:trPr>
        <w:tc>
          <w:tcPr>
            <w:tcW w:type="dxa" w:w="2400"/>
            <w:tcMar>
              <w:top w:w="80" w:type="dxa"/>
              <w:start w:w="90" w:type="dxa"/>
              <w:bottom w:w="80" w:type="dxa"/>
              <w:end w:w="90" w:type="dxa"/>
            </w:tcMar>
            <w:vAlign w:val="center"/>
          </w:tcPr>
          <w:p>
            <w:pPr>
              <w:spacing w:after="0" w:line="240" w:lineRule="auto"/>
            </w:pPr>
            <w:r>
              <w:rPr>
                <w:b/>
                <w:color w:val="12304A"/>
                <w:sz w:val="16"/>
              </w:rPr>
              <w:t xml:space="preserve">Sales: volume</w:t>
            </w:r>
          </w:p>
        </w:tc>
        <w:tc>
          <w:tcPr>
            <w:tcW w:type="dxa" w:w="5136"/>
            <w:tcMar>
              <w:top w:w="80" w:type="dxa"/>
              <w:start w:w="90" w:type="dxa"/>
              <w:bottom w:w="80" w:type="dxa"/>
              <w:end w:w="90" w:type="dxa"/>
            </w:tcMar>
            <w:vAlign w:val="center"/>
          </w:tcPr>
          <w:p>
            <w:pPr>
              <w:spacing w:after="0" w:line="240" w:lineRule="auto"/>
            </w:pPr>
            <w:r>
              <w:rPr>
                <w:color w:val="182633"/>
                <w:sz w:val="16"/>
              </w:rPr>
              <w:t xml:space="preserve">LTO shipments +57% YoY in Q1 2026; record backlog; but IBM drive supply flat for months [5][19]</w:t>
            </w:r>
          </w:p>
        </w:tc>
        <w:tc>
          <w:tcPr>
            <w:tcW w:type="dxa" w:w="2400"/>
            <w:tcMar>
              <w:top w:w="80" w:type="dxa"/>
              <w:start w:w="90" w:type="dxa"/>
              <w:bottom w:w="80" w:type="dxa"/>
              <w:end w:w="90" w:type="dxa"/>
            </w:tcMar>
            <w:vAlign w:val="center"/>
          </w:tcPr>
          <w:p>
            <w:pPr>
              <w:spacing w:after="0" w:line="240" w:lineRule="auto"/>
            </w:pPr>
            <w:r>
              <w:rPr>
                <w:color w:val="182633"/>
                <w:sz w:val="16"/>
              </w:rPr>
              <w:t xml:space="preserve">Up if supply ramps. Capped if not.</w:t>
            </w:r>
          </w:p>
        </w:tc>
      </w:tr>
      <w:tr>
        <w:trPr>
          <w:cantSplit/>
        </w:trPr>
        <w:tc>
          <w:tcPr>
            <w:tcW w:type="dxa" w:w="2400"/>
            <w:shd w:val="clear" w:color="auto" w:fill="F5F7F9"/>
            <w:tcMar>
              <w:top w:w="80" w:type="dxa"/>
              <w:start w:w="90" w:type="dxa"/>
              <w:bottom w:w="80" w:type="dxa"/>
              <w:end w:w="90" w:type="dxa"/>
            </w:tcMar>
            <w:vAlign w:val="center"/>
          </w:tcPr>
          <w:p>
            <w:pPr>
              <w:spacing w:after="0" w:line="240" w:lineRule="auto"/>
            </w:pPr>
            <w:r>
              <w:rPr>
                <w:b/>
                <w:color w:val="12304A"/>
                <w:sz w:val="16"/>
              </w:rPr>
              <w:t xml:space="preserve">Sales: price and mix</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Product 66.7% of revenue. CFO called Q2 margin guidance conservative because of large deals [2][5]</w:t>
            </w:r>
          </w:p>
        </w:tc>
        <w:tc>
          <w:tcPr>
            <w:tcW w:type="dxa" w:w="2400"/>
            <w:shd w:val="clear" w:color="auto" w:fill="F5F7F9"/>
            <w:tcMar>
              <w:top w:w="80" w:type="dxa"/>
              <w:start w:w="90" w:type="dxa"/>
              <w:bottom w:w="80" w:type="dxa"/>
              <w:end w:w="90" w:type="dxa"/>
            </w:tcMar>
            <w:vAlign w:val="center"/>
          </w:tcPr>
          <w:p>
            <w:pPr>
              <w:spacing w:after="0" w:line="240" w:lineRule="auto"/>
            </w:pPr>
            <w:r>
              <w:rPr>
                <w:color w:val="182633"/>
                <w:sz w:val="16"/>
              </w:rPr>
              <w:t xml:space="preserve">Mixed.</w:t>
            </w:r>
          </w:p>
        </w:tc>
      </w:tr>
      <w:tr>
        <w:trPr>
          <w:cantSplit/>
        </w:trPr>
        <w:tc>
          <w:tcPr>
            <w:tcW w:type="dxa" w:w="2400"/>
            <w:tcMar>
              <w:top w:w="80" w:type="dxa"/>
              <w:start w:w="90" w:type="dxa"/>
              <w:bottom w:w="80" w:type="dxa"/>
              <w:end w:w="90" w:type="dxa"/>
            </w:tcMar>
            <w:vAlign w:val="center"/>
          </w:tcPr>
          <w:p>
            <w:pPr>
              <w:spacing w:after="0" w:line="240" w:lineRule="auto"/>
            </w:pPr>
            <w:r>
              <w:rPr>
                <w:b/>
                <w:color w:val="12304A"/>
                <w:sz w:val="16"/>
              </w:rPr>
              <w:t xml:space="preserve">Costs: operating leverage</w:t>
            </w:r>
          </w:p>
        </w:tc>
        <w:tc>
          <w:tcPr>
            <w:tcW w:type="dxa" w:w="5136"/>
            <w:tcMar>
              <w:top w:w="80" w:type="dxa"/>
              <w:start w:w="90" w:type="dxa"/>
              <w:bottom w:w="80" w:type="dxa"/>
              <w:end w:w="90" w:type="dxa"/>
            </w:tcMar>
            <w:vAlign w:val="center"/>
          </w:tcPr>
          <w:p>
            <w:pPr>
              <w:spacing w:after="0" w:line="240" w:lineRule="auto"/>
            </w:pPr>
            <w:r>
              <w:rPr>
                <w:color w:val="182633"/>
                <w:sz w:val="16"/>
              </w:rPr>
              <w:t xml:space="preserve">Non-GAAP opex $25.1M in Q1; guided to ~$27M in Q2 on R&amp;D hiring and commissions [5]</w:t>
            </w:r>
          </w:p>
        </w:tc>
        <w:tc>
          <w:tcPr>
            <w:tcW w:type="dxa" w:w="2400"/>
            <w:tcMar>
              <w:top w:w="80" w:type="dxa"/>
              <w:start w:w="90" w:type="dxa"/>
              <w:bottom w:w="80" w:type="dxa"/>
              <w:end w:w="90" w:type="dxa"/>
            </w:tcMar>
            <w:vAlign w:val="center"/>
          </w:tcPr>
          <w:p>
            <w:pPr>
              <w:spacing w:after="0" w:line="240" w:lineRule="auto"/>
            </w:pPr>
            <w:r>
              <w:rPr>
                <w:color w:val="182633"/>
                <w:sz w:val="16"/>
              </w:rPr>
              <w:t xml:space="preserve">Modestly up as revenue grows.</w:t>
            </w:r>
          </w:p>
        </w:tc>
      </w:tr>
      <w:tr>
        <w:trPr>
          <w:cantSplit/>
        </w:trPr>
        <w:tc>
          <w:tcPr>
            <w:tcW w:type="dxa" w:w="2400"/>
            <w:shd w:val="clear" w:color="auto" w:fill="F5F7F9"/>
            <w:tcMar>
              <w:top w:w="80" w:type="dxa"/>
              <w:start w:w="90" w:type="dxa"/>
              <w:bottom w:w="80" w:type="dxa"/>
              <w:end w:w="90" w:type="dxa"/>
            </w:tcMar>
            <w:vAlign w:val="center"/>
          </w:tcPr>
          <w:p>
            <w:pPr>
              <w:spacing w:after="0" w:line="240" w:lineRule="auto"/>
            </w:pPr>
            <w:r>
              <w:rPr>
                <w:b/>
                <w:color w:val="12304A"/>
                <w:sz w:val="16"/>
              </w:rPr>
              <w:t xml:space="preserve">Costs: economies of scale</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Buys drives from IBM, the last LTO drive maker; single contract manufacturer [3][20]</w:t>
            </w:r>
          </w:p>
        </w:tc>
        <w:tc>
          <w:tcPr>
            <w:tcW w:type="dxa" w:w="2400"/>
            <w:shd w:val="clear" w:color="auto" w:fill="F5F7F9"/>
            <w:tcMar>
              <w:top w:w="80" w:type="dxa"/>
              <w:start w:w="90" w:type="dxa"/>
              <w:bottom w:w="80" w:type="dxa"/>
              <w:end w:w="90" w:type="dxa"/>
            </w:tcMar>
            <w:vAlign w:val="center"/>
          </w:tcPr>
          <w:p>
            <w:pPr>
              <w:spacing w:after="0" w:line="240" w:lineRule="auto"/>
            </w:pPr>
            <w:r>
              <w:rPr>
                <w:color w:val="182633"/>
                <w:sz w:val="16"/>
              </w:rPr>
              <w:t xml:space="preserve">Limited.</w:t>
            </w:r>
          </w:p>
        </w:tc>
      </w:tr>
      <w:tr>
        <w:trPr>
          <w:cantSplit/>
        </w:trPr>
        <w:tc>
          <w:tcPr>
            <w:tcW w:type="dxa" w:w="2400"/>
            <w:tcMar>
              <w:top w:w="80" w:type="dxa"/>
              <w:start w:w="90" w:type="dxa"/>
              <w:bottom w:w="80" w:type="dxa"/>
              <w:end w:w="90" w:type="dxa"/>
            </w:tcMar>
            <w:vAlign w:val="center"/>
          </w:tcPr>
          <w:p>
            <w:pPr>
              <w:spacing w:after="0" w:line="240" w:lineRule="auto"/>
            </w:pPr>
            <w:r>
              <w:rPr>
                <w:b/>
                <w:color w:val="12304A"/>
                <w:sz w:val="16"/>
              </w:rPr>
              <w:t xml:space="preserve">Costs: cost efficiencies</w:t>
            </w:r>
          </w:p>
        </w:tc>
        <w:tc>
          <w:tcPr>
            <w:tcW w:type="dxa" w:w="5136"/>
            <w:tcMar>
              <w:top w:w="80" w:type="dxa"/>
              <w:start w:w="90" w:type="dxa"/>
              <w:bottom w:w="80" w:type="dxa"/>
              <w:end w:w="90" w:type="dxa"/>
            </w:tcMar>
            <w:vAlign w:val="center"/>
          </w:tcPr>
          <w:p>
            <w:pPr>
              <w:spacing w:after="0" w:line="240" w:lineRule="auto"/>
            </w:pPr>
            <w:r>
              <w:rPr>
                <w:color w:val="182633"/>
                <w:sz w:val="16"/>
              </w:rPr>
              <w:t xml:space="preserve">Non-GAAP opex -16% YoY; interest expense removed [5]</w:t>
            </w:r>
          </w:p>
        </w:tc>
        <w:tc>
          <w:tcPr>
            <w:tcW w:type="dxa" w:w="2400"/>
            <w:tcMar>
              <w:top w:w="80" w:type="dxa"/>
              <w:start w:w="90" w:type="dxa"/>
              <w:bottom w:w="80" w:type="dxa"/>
              <w:end w:w="90" w:type="dxa"/>
            </w:tcMar>
            <w:vAlign w:val="center"/>
          </w:tcPr>
          <w:p>
            <w:pPr>
              <w:spacing w:after="0" w:line="240" w:lineRule="auto"/>
            </w:pPr>
            <w:r>
              <w:rPr>
                <w:color w:val="182633"/>
                <w:sz w:val="16"/>
              </w:rPr>
              <w:t xml:space="preserve">Largely already realized.</w:t>
            </w:r>
          </w:p>
        </w:tc>
      </w:tr>
      <w:tr>
        <w:trPr>
          <w:cantSplit/>
        </w:trPr>
        <w:tc>
          <w:tcPr>
            <w:tcW w:type="dxa" w:w="2400"/>
            <w:shd w:val="clear" w:color="auto" w:fill="F5F7F9"/>
            <w:tcMar>
              <w:top w:w="80" w:type="dxa"/>
              <w:start w:w="90" w:type="dxa"/>
              <w:bottom w:w="80" w:type="dxa"/>
              <w:end w:w="90" w:type="dxa"/>
            </w:tcMar>
            <w:vAlign w:val="center"/>
          </w:tcPr>
          <w:p>
            <w:pPr>
              <w:spacing w:after="0" w:line="240" w:lineRule="auto"/>
            </w:pPr>
            <w:r>
              <w:rPr>
                <w:b/>
                <w:color w:val="12304A"/>
                <w:sz w:val="16"/>
              </w:rPr>
              <w:t xml:space="preserve">Investments: efficiency</w:t>
            </w:r>
          </w:p>
        </w:tc>
        <w:tc>
          <w:tcPr>
            <w:tcW w:type="dxa" w:w="5136"/>
            <w:shd w:val="clear" w:color="auto" w:fill="F5F7F9"/>
            <w:tcMar>
              <w:top w:w="80" w:type="dxa"/>
              <w:start w:w="90" w:type="dxa"/>
              <w:bottom w:w="80" w:type="dxa"/>
              <w:end w:w="90" w:type="dxa"/>
            </w:tcMar>
            <w:vAlign w:val="center"/>
          </w:tcPr>
          <w:p>
            <w:pPr>
              <w:spacing w:after="0" w:line="240" w:lineRule="auto"/>
            </w:pPr>
            <w:r>
              <w:rPr>
                <w:color w:val="182633"/>
                <w:sz w:val="16"/>
              </w:rPr>
              <w:t xml:space="preserve">Capex &lt;0.5% of revenue; deferred revenue $115.1M; purchase commitments $142.6M [2][5]</w:t>
            </w:r>
          </w:p>
        </w:tc>
        <w:tc>
          <w:tcPr>
            <w:tcW w:type="dxa" w:w="2400"/>
            <w:shd w:val="clear" w:color="auto" w:fill="F5F7F9"/>
            <w:tcMar>
              <w:top w:w="80" w:type="dxa"/>
              <w:start w:w="90" w:type="dxa"/>
              <w:bottom w:w="80" w:type="dxa"/>
              <w:end w:w="90" w:type="dxa"/>
            </w:tcMar>
            <w:vAlign w:val="center"/>
          </w:tcPr>
          <w:p>
            <w:pPr>
              <w:spacing w:after="0" w:line="240" w:lineRule="auto"/>
            </w:pPr>
            <w:r>
              <w:rPr>
                <w:color w:val="182633"/>
                <w:sz w:val="16"/>
              </w:rPr>
              <w:t xml:space="preserve">Mixed. Working capital rises in a ramp.</w:t>
            </w:r>
          </w:p>
        </w:tc>
      </w:tr>
    </w:tbl>
    <w:p>
      <w:pPr>
        <w:spacing w:after="0"/>
      </w:pPr>
    </w:p>
    <w:p>
      <w:r>
        <w:t xml:space="preserve">The sales-volume trigger (drive supply) has the largest revision potential. Even a full supply ramp must then be sustained for years to reach the implied path.</w:t>
      </w:r>
    </w:p>
    <w:p>
      <w:pPr>
        <w:pStyle w:val="Heading2"/>
      </w:pPr>
      <w:r>
        <w:t xml:space="preserve">Scenario values per share</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536"/>
        <w:gridCol w:w="1600"/>
        <w:gridCol w:w="2400"/>
        <w:gridCol w:w="2400"/>
      </w:tblGrid>
      <w:tr>
        <w:trPr>
          <w:tblHeader/>
          <w:cantSplit/>
        </w:trPr>
        <w:tc>
          <w:tcPr>
            <w:tcW w:type="dxa" w:w="35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Scenario (yearly revenue growth / operating margin in year 10)</w:t>
            </w:r>
          </w:p>
        </w:tc>
        <w:tc>
          <w:tcPr>
            <w:tcW w:type="dxa" w:w="16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Year-10 revenue</w:t>
            </w:r>
          </w:p>
        </w:tc>
        <w:tc>
          <w:tcPr>
            <w:tcW w:type="dxa" w:w="24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Value per share (vs. $30.43)</w:t>
            </w:r>
          </w:p>
        </w:tc>
        <w:tc>
          <w:tcPr>
            <w:tcW w:type="dxa" w:w="24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Likelihood (qualitative)</w:t>
            </w:r>
          </w:p>
        </w:tc>
      </w:tr>
      <w:tr>
        <w:trPr>
          <w:cantSplit/>
        </w:trPr>
        <w:tc>
          <w:tcPr>
            <w:tcW w:type="dxa" w:w="3536"/>
            <w:tcMar>
              <w:top w:w="80" w:type="dxa"/>
              <w:start w:w="90" w:type="dxa"/>
              <w:bottom w:w="80" w:type="dxa"/>
              <w:end w:w="90" w:type="dxa"/>
            </w:tcMar>
            <w:vAlign w:val="center"/>
          </w:tcPr>
          <w:p>
            <w:pPr>
              <w:keepNext/>
              <w:spacing w:after="0" w:line="240" w:lineRule="auto"/>
            </w:pPr>
            <w:r>
              <w:rPr>
                <w:b/>
                <w:color w:val="12304A"/>
                <w:sz w:val="16"/>
              </w:rPr>
              <w:t xml:space="preserve">Bear: 4% / 8% (supply tight; HPE-level margin)</w:t>
            </w:r>
          </w:p>
        </w:tc>
        <w:tc>
          <w:tcPr>
            <w:tcW w:type="dxa" w:w="1600"/>
            <w:tcMar>
              <w:top w:w="80" w:type="dxa"/>
              <w:start w:w="90" w:type="dxa"/>
              <w:bottom w:w="80" w:type="dxa"/>
              <w:end w:w="90" w:type="dxa"/>
            </w:tcMar>
            <w:vAlign w:val="center"/>
          </w:tcPr>
          <w:p>
            <w:pPr>
              <w:keepNext/>
              <w:spacing w:after="0" w:line="240" w:lineRule="auto"/>
            </w:pPr>
            <w:r>
              <w:rPr>
                <w:color w:val="182633"/>
                <w:sz w:val="16"/>
              </w:rPr>
              <w:t xml:space="preserve">$486M</w:t>
            </w:r>
          </w:p>
        </w:tc>
        <w:tc>
          <w:tcPr>
            <w:tcW w:type="dxa" w:w="2400"/>
            <w:tcMar>
              <w:top w:w="80" w:type="dxa"/>
              <w:start w:w="90" w:type="dxa"/>
              <w:bottom w:w="80" w:type="dxa"/>
              <w:end w:w="90" w:type="dxa"/>
            </w:tcMar>
            <w:vAlign w:val="center"/>
          </w:tcPr>
          <w:p>
            <w:pPr>
              <w:keepNext/>
              <w:spacing w:after="0" w:line="240" w:lineRule="auto"/>
            </w:pPr>
            <w:r>
              <w:rPr>
                <w:color w:val="182633"/>
                <w:sz w:val="16"/>
              </w:rPr>
              <w:t xml:space="preserve">~$5 (-84%)</w:t>
            </w:r>
          </w:p>
        </w:tc>
        <w:tc>
          <w:tcPr>
            <w:tcW w:type="dxa" w:w="2400"/>
            <w:tcMar>
              <w:top w:w="80" w:type="dxa"/>
              <w:start w:w="90" w:type="dxa"/>
              <w:bottom w:w="80" w:type="dxa"/>
              <w:end w:w="90" w:type="dxa"/>
            </w:tcMar>
            <w:vAlign w:val="center"/>
          </w:tcPr>
          <w:p>
            <w:pPr>
              <w:keepNext/>
              <w:spacing w:after="0" w:line="240" w:lineRule="auto"/>
            </w:pPr>
            <w:r>
              <w:rPr>
                <w:color w:val="182633"/>
                <w:sz w:val="16"/>
              </w:rPr>
              <w:t xml:space="preserve">Plausible</w:t>
            </w:r>
          </w:p>
        </w:tc>
      </w:tr>
      <w:tr>
        <w:trPr>
          <w:cantSplit/>
        </w:trPr>
        <w:tc>
          <w:tcPr>
            <w:tcW w:type="dxa" w:w="35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Base: 10% / 14% (solid turnaround; competitor median)</w:t>
            </w:r>
          </w:p>
        </w:tc>
        <w:tc>
          <w:tcPr>
            <w:tcW w:type="dxa" w:w="16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$851M</w:t>
            </w:r>
          </w:p>
        </w:tc>
        <w:tc>
          <w:tcPr>
            <w:tcW w:type="dxa" w:w="24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~$10 (-67%)</w:t>
            </w:r>
          </w:p>
        </w:tc>
        <w:tc>
          <w:tcPr>
            <w:tcW w:type="dxa" w:w="24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Most likely on current evidence</w:t>
            </w:r>
          </w:p>
        </w:tc>
      </w:tr>
      <w:tr>
        <w:trPr>
          <w:cantSplit/>
        </w:trPr>
        <w:tc>
          <w:tcPr>
            <w:tcW w:type="dxa" w:w="3536"/>
            <w:tcMar>
              <w:top w:w="80" w:type="dxa"/>
              <w:start w:w="90" w:type="dxa"/>
              <w:bottom w:w="80" w:type="dxa"/>
              <w:end w:w="90" w:type="dxa"/>
            </w:tcMar>
            <w:vAlign w:val="center"/>
          </w:tcPr>
          <w:p>
            <w:pPr>
              <w:keepNext/>
              <w:spacing w:after="0" w:line="240" w:lineRule="auto"/>
            </w:pPr>
            <w:r>
              <w:rPr>
                <w:b/>
                <w:color w:val="12304A"/>
                <w:sz w:val="16"/>
              </w:rPr>
              <w:t xml:space="preserve">Bull: 18% / 18.5% (share gains; IBM-level margin)</w:t>
            </w:r>
          </w:p>
        </w:tc>
        <w:tc>
          <w:tcPr>
            <w:tcW w:type="dxa" w:w="1600"/>
            <w:tcMar>
              <w:top w:w="80" w:type="dxa"/>
              <w:start w:w="90" w:type="dxa"/>
              <w:bottom w:w="80" w:type="dxa"/>
              <w:end w:w="90" w:type="dxa"/>
            </w:tcMar>
            <w:vAlign w:val="center"/>
          </w:tcPr>
          <w:p>
            <w:pPr>
              <w:keepNext/>
              <w:spacing w:after="0" w:line="240" w:lineRule="auto"/>
            </w:pPr>
            <w:r>
              <w:rPr>
                <w:color w:val="182633"/>
                <w:sz w:val="16"/>
              </w:rPr>
              <w:t xml:space="preserve">$1.72B</w:t>
            </w:r>
          </w:p>
        </w:tc>
        <w:tc>
          <w:tcPr>
            <w:tcW w:type="dxa" w:w="2400"/>
            <w:tcMar>
              <w:top w:w="80" w:type="dxa"/>
              <w:start w:w="90" w:type="dxa"/>
              <w:bottom w:w="80" w:type="dxa"/>
              <w:end w:w="90" w:type="dxa"/>
            </w:tcMar>
            <w:vAlign w:val="center"/>
          </w:tcPr>
          <w:p>
            <w:pPr>
              <w:keepNext/>
              <w:spacing w:after="0" w:line="240" w:lineRule="auto"/>
            </w:pPr>
            <w:r>
              <w:rPr>
                <w:color w:val="182633"/>
                <w:sz w:val="16"/>
              </w:rPr>
              <w:t xml:space="preserve">~$22 (-27%)</w:t>
            </w:r>
          </w:p>
        </w:tc>
        <w:tc>
          <w:tcPr>
            <w:tcW w:type="dxa" w:w="2400"/>
            <w:tcMar>
              <w:top w:w="80" w:type="dxa"/>
              <w:start w:w="90" w:type="dxa"/>
              <w:bottom w:w="80" w:type="dxa"/>
              <w:end w:w="90" w:type="dxa"/>
            </w:tcMar>
            <w:vAlign w:val="center"/>
          </w:tcPr>
          <w:p>
            <w:pPr>
              <w:keepNext/>
              <w:spacing w:after="0" w:line="240" w:lineRule="auto"/>
            </w:pPr>
            <w:r>
              <w:rPr>
                <w:color w:val="182633"/>
                <w:sz w:val="16"/>
              </w:rPr>
              <w:t xml:space="preserve">Possible; needs more proof</w:t>
            </w:r>
          </w:p>
        </w:tc>
      </w:tr>
      <w:tr>
        <w:trPr>
          <w:cantSplit/>
        </w:trPr>
        <w:tc>
          <w:tcPr>
            <w:tcW w:type="dxa" w:w="3536"/>
            <w:shd w:val="clear" w:color="auto" w:fill="F5F7F9"/>
            <w:tcMar>
              <w:top w:w="80" w:type="dxa"/>
              <w:start w:w="90" w:type="dxa"/>
              <w:bottom w:w="80" w:type="dxa"/>
              <w:end w:w="90" w:type="dxa"/>
            </w:tcMar>
            <w:vAlign w:val="center"/>
          </w:tcPr>
          <w:p>
            <w:pPr>
              <w:spacing w:after="0" w:line="240" w:lineRule="auto"/>
            </w:pPr>
            <w:r>
              <w:rPr>
                <w:b/>
                <w:color w:val="12304A"/>
                <w:sz w:val="16"/>
              </w:rPr>
              <w:t xml:space="preserve">Blue sky: 22% / 26% (category leader; NetApp-level margin)</w:t>
            </w:r>
          </w:p>
        </w:tc>
        <w:tc>
          <w:tcPr>
            <w:tcW w:type="dxa" w:w="1600"/>
            <w:shd w:val="clear" w:color="auto" w:fill="F5F7F9"/>
            <w:tcMar>
              <w:top w:w="80" w:type="dxa"/>
              <w:start w:w="90" w:type="dxa"/>
              <w:bottom w:w="80" w:type="dxa"/>
              <w:end w:w="90" w:type="dxa"/>
            </w:tcMar>
            <w:vAlign w:val="center"/>
          </w:tcPr>
          <w:p>
            <w:pPr>
              <w:spacing w:after="0" w:line="240" w:lineRule="auto"/>
            </w:pPr>
            <w:r>
              <w:rPr>
                <w:color w:val="182633"/>
                <w:sz w:val="16"/>
              </w:rPr>
              <w:t xml:space="preserve">$2.40B</w:t>
            </w:r>
          </w:p>
        </w:tc>
        <w:tc>
          <w:tcPr>
            <w:tcW w:type="dxa" w:w="2400"/>
            <w:shd w:val="clear" w:color="auto" w:fill="F5F7F9"/>
            <w:tcMar>
              <w:top w:w="80" w:type="dxa"/>
              <w:start w:w="90" w:type="dxa"/>
              <w:bottom w:w="80" w:type="dxa"/>
              <w:end w:w="90" w:type="dxa"/>
            </w:tcMar>
            <w:vAlign w:val="center"/>
          </w:tcPr>
          <w:p>
            <w:pPr>
              <w:spacing w:after="0" w:line="240" w:lineRule="auto"/>
            </w:pPr>
            <w:r>
              <w:rPr>
                <w:color w:val="182633"/>
                <w:sz w:val="16"/>
              </w:rPr>
              <w:t xml:space="preserve">~$45 (+48%)</w:t>
            </w:r>
          </w:p>
        </w:tc>
        <w:tc>
          <w:tcPr>
            <w:tcW w:type="dxa" w:w="2400"/>
            <w:shd w:val="clear" w:color="auto" w:fill="F5F7F9"/>
            <w:tcMar>
              <w:top w:w="80" w:type="dxa"/>
              <w:start w:w="90" w:type="dxa"/>
              <w:bottom w:w="80" w:type="dxa"/>
              <w:end w:w="90" w:type="dxa"/>
            </w:tcMar>
            <w:vAlign w:val="center"/>
          </w:tcPr>
          <w:p>
            <w:pPr>
              <w:spacing w:after="0" w:line="240" w:lineRule="auto"/>
            </w:pPr>
            <w:r>
              <w:rPr>
                <w:color w:val="182633"/>
                <w:sz w:val="16"/>
              </w:rPr>
              <w:t xml:space="preserve">Unlikely</w:t>
            </w:r>
          </w:p>
        </w:tc>
      </w:tr>
    </w:tbl>
    <w:p>
      <w:pPr>
        <w:spacing w:after="0"/>
      </w:pPr>
    </w:p>
    <w:p>
      <w:pPr>
        <w:pStyle w:val="SmallNote"/>
      </w:pPr>
      <w:r>
        <w:t xml:space="preserve">Same model, 12% WACC and 25% tax for every scenario. Year-10 margins are tied to competitor levels [35]. Value per share = (enterprise value - $8.9M lease liabilities + $54.6M cash + $14.3M warrant proceeds) / 42.2M diluted shares; the bear case uses 39.41M basic shares because the warrants ($5.194) would not be used. Values are reference points, not a price target. Likelihoods are the author’s judgment, not probabilities [2].</w:t>
      </w:r>
    </w:p>
    <w:p>
      <w:pPr>
        <w:pStyle w:val="Heading2"/>
      </w:pPr>
      <w:r>
        <w:t xml:space="preserve">Valuation against competitors</w:t>
      </w:r>
    </w:p>
    <w:p>
      <w:r>
        <w:t xml:space="preserve">On sales, Quantum is priced close to its competitors. On earnings and cash profit, it is priced at two to three times their multiples, while its margins are lower [24][35].</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836"/>
        <w:gridCol w:w="1700"/>
        <w:gridCol w:w="2000"/>
        <w:gridCol w:w="1600"/>
        <w:gridCol w:w="1800"/>
      </w:tblGrid>
      <w:tr>
        <w:trPr>
          <w:tblHeader/>
          <w:cantSplit/>
        </w:trPr>
        <w:tc>
          <w:tcPr>
            <w:tcW w:type="dxa" w:w="28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Company</w:t>
            </w:r>
          </w:p>
        </w:tc>
        <w:tc>
          <w:tcPr>
            <w:tcW w:type="dxa" w:w="17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EV / Sales (12 mo.)</w:t>
            </w:r>
          </w:p>
        </w:tc>
        <w:tc>
          <w:tcPr>
            <w:tcW w:type="dxa" w:w="2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EV / EBITDA (12 mo.)</w:t>
            </w:r>
          </w:p>
        </w:tc>
        <w:tc>
          <w:tcPr>
            <w:tcW w:type="dxa" w:w="16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Forward P/E</w:t>
            </w:r>
          </w:p>
        </w:tc>
        <w:tc>
          <w:tcPr>
            <w:tcW w:type="dxa" w:w="18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Operating margin</w:t>
            </w:r>
          </w:p>
        </w:tc>
      </w:tr>
      <w:tr>
        <w:trPr>
          <w:cantSplit/>
        </w:trPr>
        <w:tc>
          <w:tcPr>
            <w:tcW w:type="dxa" w:w="2836"/>
            <w:tcMar>
              <w:top w:w="80" w:type="dxa"/>
              <w:start w:w="90" w:type="dxa"/>
              <w:bottom w:w="80" w:type="dxa"/>
              <w:end w:w="90" w:type="dxa"/>
            </w:tcMar>
            <w:vAlign w:val="center"/>
          </w:tcPr>
          <w:p>
            <w:pPr>
              <w:keepNext/>
              <w:spacing w:after="0" w:line="240" w:lineRule="auto"/>
            </w:pPr>
            <w:r>
              <w:rPr>
                <w:b/>
                <w:color w:val="12304A"/>
                <w:sz w:val="16"/>
              </w:rPr>
              <w:t xml:space="preserve">Quantum (QMCO)</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3.9x</w:t>
            </w:r>
          </w:p>
        </w:tc>
        <w:tc>
          <w:tcPr>
            <w:tcW w:type="dxa" w:w="2000"/>
            <w:tcMar>
              <w:top w:w="80" w:type="dxa"/>
              <w:start w:w="90" w:type="dxa"/>
              <w:bottom w:w="80" w:type="dxa"/>
              <w:end w:w="90" w:type="dxa"/>
            </w:tcMar>
            <w:vAlign w:val="center"/>
          </w:tcPr>
          <w:p>
            <w:pPr>
              <w:keepNext/>
              <w:spacing w:after="0" w:line="240" w:lineRule="auto"/>
            </w:pPr>
            <w:r>
              <w:rPr>
                <w:color w:val="182633"/>
                <w:sz w:val="16"/>
              </w:rPr>
              <w:t xml:space="preserve">n.m. (~41x run-rate)</w:t>
            </w:r>
          </w:p>
        </w:tc>
        <w:tc>
          <w:tcPr>
            <w:tcW w:type="dxa" w:w="1600"/>
            <w:tcMar>
              <w:top w:w="80" w:type="dxa"/>
              <w:start w:w="90" w:type="dxa"/>
              <w:bottom w:w="80" w:type="dxa"/>
              <w:end w:w="90" w:type="dxa"/>
            </w:tcMar>
            <w:vAlign w:val="center"/>
          </w:tcPr>
          <w:p>
            <w:pPr>
              <w:keepNext/>
              <w:spacing w:after="0" w:line="240" w:lineRule="auto"/>
            </w:pPr>
            <w:r>
              <w:rPr>
                <w:color w:val="182633"/>
                <w:sz w:val="16"/>
              </w:rPr>
              <w:t xml:space="preserve">~57x</w:t>
            </w:r>
          </w:p>
        </w:tc>
        <w:tc>
          <w:tcPr>
            <w:tcW w:type="dxa" w:w="1800"/>
            <w:tcMar>
              <w:top w:w="80" w:type="dxa"/>
              <w:start w:w="90" w:type="dxa"/>
              <w:bottom w:w="80" w:type="dxa"/>
              <w:end w:w="90" w:type="dxa"/>
            </w:tcMar>
            <w:vAlign w:val="center"/>
          </w:tcPr>
          <w:p>
            <w:pPr>
              <w:keepNext/>
              <w:spacing w:after="0" w:line="240" w:lineRule="auto"/>
            </w:pPr>
            <w:r>
              <w:rPr>
                <w:color w:val="182633"/>
                <w:sz w:val="16"/>
              </w:rPr>
              <w:t xml:space="preserve">-0.4% (Q1: 6.2%)</w:t>
            </w:r>
          </w:p>
        </w:tc>
      </w:tr>
      <w:tr>
        <w:trPr>
          <w:cantSplit/>
        </w:trPr>
        <w:tc>
          <w:tcPr>
            <w:tcW w:type="dxa" w:w="28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Dell (DELL)</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2.6x</w:t>
            </w:r>
          </w:p>
        </w:tc>
        <w:tc>
          <w:tcPr>
            <w:tcW w:type="dxa" w:w="2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22.4x</w:t>
            </w:r>
          </w:p>
        </w:tc>
        <w:tc>
          <w:tcPr>
            <w:tcW w:type="dxa" w:w="16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20.8x</w:t>
            </w:r>
          </w:p>
        </w:tc>
        <w:tc>
          <w:tcPr>
            <w:tcW w:type="dxa" w:w="18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9.9%</w:t>
            </w:r>
          </w:p>
        </w:tc>
      </w:tr>
      <w:tr>
        <w:trPr>
          <w:cantSplit/>
        </w:trPr>
        <w:tc>
          <w:tcPr>
            <w:tcW w:type="dxa" w:w="2836"/>
            <w:tcMar>
              <w:top w:w="80" w:type="dxa"/>
              <w:start w:w="90" w:type="dxa"/>
              <w:bottom w:w="80" w:type="dxa"/>
              <w:end w:w="90" w:type="dxa"/>
            </w:tcMar>
            <w:vAlign w:val="center"/>
          </w:tcPr>
          <w:p>
            <w:pPr>
              <w:keepNext/>
              <w:spacing w:after="0" w:line="240" w:lineRule="auto"/>
            </w:pPr>
            <w:r>
              <w:rPr>
                <w:b/>
                <w:color w:val="12304A"/>
                <w:sz w:val="16"/>
              </w:rPr>
              <w:t xml:space="preserve">HPE (HPE)</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2.7x</w:t>
            </w:r>
          </w:p>
        </w:tc>
        <w:tc>
          <w:tcPr>
            <w:tcW w:type="dxa" w:w="2000"/>
            <w:tcMar>
              <w:top w:w="80" w:type="dxa"/>
              <w:start w:w="90" w:type="dxa"/>
              <w:bottom w:w="80" w:type="dxa"/>
              <w:end w:w="90" w:type="dxa"/>
            </w:tcMar>
            <w:vAlign w:val="center"/>
          </w:tcPr>
          <w:p>
            <w:pPr>
              <w:keepNext/>
              <w:spacing w:after="0" w:line="240" w:lineRule="auto"/>
            </w:pPr>
            <w:r>
              <w:rPr>
                <w:color w:val="182633"/>
                <w:sz w:val="16"/>
              </w:rPr>
              <w:t xml:space="preserve">16.2x</w:t>
            </w:r>
          </w:p>
        </w:tc>
        <w:tc>
          <w:tcPr>
            <w:tcW w:type="dxa" w:w="1600"/>
            <w:tcMar>
              <w:top w:w="80" w:type="dxa"/>
              <w:start w:w="90" w:type="dxa"/>
              <w:bottom w:w="80" w:type="dxa"/>
              <w:end w:w="90" w:type="dxa"/>
            </w:tcMar>
            <w:vAlign w:val="center"/>
          </w:tcPr>
          <w:p>
            <w:pPr>
              <w:keepNext/>
              <w:spacing w:after="0" w:line="240" w:lineRule="auto"/>
            </w:pPr>
            <w:r>
              <w:rPr>
                <w:color w:val="182633"/>
                <w:sz w:val="16"/>
              </w:rPr>
              <w:t xml:space="preserve">15.8x</w:t>
            </w:r>
          </w:p>
        </w:tc>
        <w:tc>
          <w:tcPr>
            <w:tcW w:type="dxa" w:w="1800"/>
            <w:tcMar>
              <w:top w:w="80" w:type="dxa"/>
              <w:start w:w="90" w:type="dxa"/>
              <w:bottom w:w="80" w:type="dxa"/>
              <w:end w:w="90" w:type="dxa"/>
            </w:tcMar>
            <w:vAlign w:val="center"/>
          </w:tcPr>
          <w:p>
            <w:pPr>
              <w:keepNext/>
              <w:spacing w:after="0" w:line="240" w:lineRule="auto"/>
            </w:pPr>
            <w:r>
              <w:rPr>
                <w:color w:val="182633"/>
                <w:sz w:val="16"/>
              </w:rPr>
              <w:t xml:space="preserve">8.1%</w:t>
            </w:r>
          </w:p>
        </w:tc>
      </w:tr>
      <w:tr>
        <w:trPr>
          <w:cantSplit/>
        </w:trPr>
        <w:tc>
          <w:tcPr>
            <w:tcW w:type="dxa" w:w="28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IBM (IBM)</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3.9x</w:t>
            </w:r>
          </w:p>
        </w:tc>
        <w:tc>
          <w:tcPr>
            <w:tcW w:type="dxa" w:w="2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16.5x</w:t>
            </w:r>
          </w:p>
        </w:tc>
        <w:tc>
          <w:tcPr>
            <w:tcW w:type="dxa" w:w="16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17.8x</w:t>
            </w:r>
          </w:p>
        </w:tc>
        <w:tc>
          <w:tcPr>
            <w:tcW w:type="dxa" w:w="18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18.5%</w:t>
            </w:r>
          </w:p>
        </w:tc>
      </w:tr>
      <w:tr>
        <w:trPr>
          <w:cantSplit/>
        </w:trPr>
        <w:tc>
          <w:tcPr>
            <w:tcW w:type="dxa" w:w="2836"/>
            <w:tcMar>
              <w:top w:w="80" w:type="dxa"/>
              <w:start w:w="90" w:type="dxa"/>
              <w:bottom w:w="80" w:type="dxa"/>
              <w:end w:w="90" w:type="dxa"/>
            </w:tcMar>
            <w:vAlign w:val="center"/>
          </w:tcPr>
          <w:p>
            <w:pPr>
              <w:keepNext/>
              <w:spacing w:after="0" w:line="240" w:lineRule="auto"/>
            </w:pPr>
            <w:r>
              <w:rPr>
                <w:b/>
                <w:color w:val="12304A"/>
                <w:sz w:val="16"/>
              </w:rPr>
              <w:t xml:space="preserve">NetApp (NTAP)</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6.0x</w:t>
            </w:r>
          </w:p>
        </w:tc>
        <w:tc>
          <w:tcPr>
            <w:tcW w:type="dxa" w:w="2000"/>
            <w:tcMar>
              <w:top w:w="80" w:type="dxa"/>
              <w:start w:w="90" w:type="dxa"/>
              <w:bottom w:w="80" w:type="dxa"/>
              <w:end w:w="90" w:type="dxa"/>
            </w:tcMar>
            <w:vAlign w:val="center"/>
          </w:tcPr>
          <w:p>
            <w:pPr>
              <w:keepNext/>
              <w:spacing w:after="0" w:line="240" w:lineRule="auto"/>
            </w:pPr>
            <w:r>
              <w:rPr>
                <w:color w:val="182633"/>
                <w:sz w:val="16"/>
              </w:rPr>
              <w:t xml:space="preserve">21.2x</w:t>
            </w:r>
          </w:p>
        </w:tc>
        <w:tc>
          <w:tcPr>
            <w:tcW w:type="dxa" w:w="1600"/>
            <w:tcMar>
              <w:top w:w="80" w:type="dxa"/>
              <w:start w:w="90" w:type="dxa"/>
              <w:bottom w:w="80" w:type="dxa"/>
              <w:end w:w="90" w:type="dxa"/>
            </w:tcMar>
            <w:vAlign w:val="center"/>
          </w:tcPr>
          <w:p>
            <w:pPr>
              <w:keepNext/>
              <w:spacing w:after="0" w:line="240" w:lineRule="auto"/>
            </w:pPr>
            <w:r>
              <w:rPr>
                <w:color w:val="182633"/>
                <w:sz w:val="16"/>
              </w:rPr>
              <w:t xml:space="preserve">23.9x</w:t>
            </w:r>
          </w:p>
        </w:tc>
        <w:tc>
          <w:tcPr>
            <w:tcW w:type="dxa" w:w="1800"/>
            <w:tcMar>
              <w:top w:w="80" w:type="dxa"/>
              <w:start w:w="90" w:type="dxa"/>
              <w:bottom w:w="80" w:type="dxa"/>
              <w:end w:w="90" w:type="dxa"/>
            </w:tcMar>
            <w:vAlign w:val="center"/>
          </w:tcPr>
          <w:p>
            <w:pPr>
              <w:keepNext/>
              <w:spacing w:after="0" w:line="240" w:lineRule="auto"/>
            </w:pPr>
            <w:r>
              <w:rPr>
                <w:color w:val="182633"/>
                <w:sz w:val="16"/>
              </w:rPr>
              <w:t xml:space="preserve">26.0%</w:t>
            </w:r>
          </w:p>
        </w:tc>
      </w:tr>
      <w:tr>
        <w:trPr>
          <w:cantSplit/>
        </w:trPr>
        <w:tc>
          <w:tcPr>
            <w:tcW w:type="dxa" w:w="28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Median, four competitors</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3.3x</w:t>
            </w:r>
          </w:p>
        </w:tc>
        <w:tc>
          <w:tcPr>
            <w:tcW w:type="dxa" w:w="2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18.8x</w:t>
            </w:r>
          </w:p>
        </w:tc>
        <w:tc>
          <w:tcPr>
            <w:tcW w:type="dxa" w:w="16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19.3x</w:t>
            </w:r>
          </w:p>
        </w:tc>
        <w:tc>
          <w:tcPr>
            <w:tcW w:type="dxa" w:w="18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14.2%</w:t>
            </w:r>
          </w:p>
        </w:tc>
      </w:tr>
      <w:tr>
        <w:trPr>
          <w:cantSplit/>
        </w:trPr>
        <w:tc>
          <w:tcPr>
            <w:tcW w:type="dxa" w:w="2836"/>
            <w:tcMar>
              <w:top w:w="80" w:type="dxa"/>
              <w:start w:w="90" w:type="dxa"/>
              <w:bottom w:w="80" w:type="dxa"/>
              <w:end w:w="90" w:type="dxa"/>
            </w:tcMar>
            <w:vAlign w:val="center"/>
          </w:tcPr>
          <w:p>
            <w:pPr>
              <w:spacing w:after="0" w:line="240" w:lineRule="auto"/>
            </w:pPr>
            <w:r>
              <w:rPr>
                <w:b/>
                <w:color w:val="12304A"/>
                <w:sz w:val="16"/>
              </w:rPr>
              <w:t xml:space="preserve">Seagate (STX), storage peer</w:t>
            </w:r>
          </w:p>
        </w:tc>
        <w:tc>
          <w:tcPr>
            <w:tcW w:type="dxa" w:w="1700"/>
            <w:tcMar>
              <w:top w:w="80" w:type="dxa"/>
              <w:start w:w="90" w:type="dxa"/>
              <w:bottom w:w="80" w:type="dxa"/>
              <w:end w:w="90" w:type="dxa"/>
            </w:tcMar>
            <w:vAlign w:val="center"/>
          </w:tcPr>
          <w:p>
            <w:pPr>
              <w:spacing w:after="0" w:line="240" w:lineRule="auto"/>
            </w:pPr>
            <w:r>
              <w:rPr>
                <w:color w:val="182633"/>
                <w:sz w:val="16"/>
              </w:rPr>
              <w:t xml:space="preserve">14.8x</w:t>
            </w:r>
          </w:p>
        </w:tc>
        <w:tc>
          <w:tcPr>
            <w:tcW w:type="dxa" w:w="2000"/>
            <w:tcMar>
              <w:top w:w="80" w:type="dxa"/>
              <w:start w:w="90" w:type="dxa"/>
              <w:bottom w:w="80" w:type="dxa"/>
              <w:end w:w="90" w:type="dxa"/>
            </w:tcMar>
            <w:vAlign w:val="center"/>
          </w:tcPr>
          <w:p>
            <w:pPr>
              <w:spacing w:after="0" w:line="240" w:lineRule="auto"/>
            </w:pPr>
            <w:r>
              <w:rPr>
                <w:color w:val="182633"/>
                <w:sz w:val="16"/>
              </w:rPr>
              <w:t xml:space="preserve">40.0x</w:t>
            </w:r>
          </w:p>
        </w:tc>
        <w:tc>
          <w:tcPr>
            <w:tcW w:type="dxa" w:w="1600"/>
            <w:tcMar>
              <w:top w:w="80" w:type="dxa"/>
              <w:start w:w="90" w:type="dxa"/>
              <w:bottom w:w="80" w:type="dxa"/>
              <w:end w:w="90" w:type="dxa"/>
            </w:tcMar>
            <w:vAlign w:val="center"/>
          </w:tcPr>
          <w:p>
            <w:pPr>
              <w:spacing w:after="0" w:line="240" w:lineRule="auto"/>
            </w:pPr>
            <w:r>
              <w:rPr>
                <w:color w:val="182633"/>
                <w:sz w:val="16"/>
              </w:rPr>
              <w:t xml:space="preserve">21.6x</w:t>
            </w:r>
          </w:p>
        </w:tc>
        <w:tc>
          <w:tcPr>
            <w:tcW w:type="dxa" w:w="1800"/>
            <w:tcMar>
              <w:top w:w="80" w:type="dxa"/>
              <w:start w:w="90" w:type="dxa"/>
              <w:bottom w:w="80" w:type="dxa"/>
              <w:end w:w="90" w:type="dxa"/>
            </w:tcMar>
            <w:vAlign w:val="center"/>
          </w:tcPr>
          <w:p>
            <w:pPr>
              <w:spacing w:after="0" w:line="240" w:lineRule="auto"/>
            </w:pPr>
            <w:r>
              <w:rPr>
                <w:color w:val="182633"/>
                <w:sz w:val="16"/>
              </w:rPr>
              <w:t xml:space="preserve">34.7%</w:t>
            </w:r>
          </w:p>
        </w:tc>
      </w:tr>
    </w:tbl>
    <w:p>
      <w:pPr>
        <w:spacing w:after="0"/>
      </w:pPr>
    </w:p>
    <w:p>
      <w:pPr>
        <w:pStyle w:val="SmallNote"/>
      </w:pPr>
      <w:r>
        <w:t xml:space="preserve">StockAnalysis; prices at the Oct. 9, 2026 close; statistics checked Oct. 8-12 [24][35]. Quantum EV/Sales uses EV of ~$1.153B and revenue of $296.1M (author calc.). Quantum’s last-12-month GAAP EBITDA was $2.4M, so EV/EBITDA is not meaningful (n.m.). The run-rate uses adjusted EBITDA of Q1 ($8.0M) plus the Q2 guide ($6M), times two (~$28M) [1]. Competitor EBITDA is GAAP-based, so this comparison flatters Quantum. Seagate is not in the median.</w:t>
      </w:r>
    </w:p>
    <w:p>
      <w:r>
        <w:rPr>
          <w:b/>
        </w:rPr>
        <w:t xml:space="preserve">P/E on different earnings bases.</w:t>
      </w:r>
      <w:r>
        <w:t xml:space="preserve"> Quantum’s P/E depends heavily on which earnings you use. Over the last 12 months it lost money on both a GAAP and an adjusted basis, so a trailing P/E is not meaningful. On run-rate or forward earnings it is about 57x to 75x. Even the lowest of these is about three times the competitor median.</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236"/>
        <w:gridCol w:w="3300"/>
        <w:gridCol w:w="1700"/>
        <w:gridCol w:w="1700"/>
      </w:tblGrid>
      <w:tr>
        <w:trPr>
          <w:tblHeader/>
          <w:cantSplit/>
        </w:trPr>
        <w:tc>
          <w:tcPr>
            <w:tcW w:type="dxa" w:w="32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Earnings basis</w:t>
            </w:r>
          </w:p>
        </w:tc>
        <w:tc>
          <w:tcPr>
            <w:tcW w:type="dxa" w:w="33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Earnings used</w:t>
            </w:r>
          </w:p>
        </w:tc>
        <w:tc>
          <w:tcPr>
            <w:tcW w:type="dxa" w:w="17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EPS</w:t>
            </w:r>
          </w:p>
        </w:tc>
        <w:tc>
          <w:tcPr>
            <w:tcW w:type="dxa" w:w="17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P/E at $30.43</w:t>
            </w:r>
          </w:p>
        </w:tc>
      </w:tr>
      <w:tr>
        <w:trPr>
          <w:cantSplit/>
        </w:trPr>
        <w:tc>
          <w:tcPr>
            <w:tcW w:type="dxa" w:w="3236"/>
            <w:tcMar>
              <w:top w:w="80" w:type="dxa"/>
              <w:start w:w="90" w:type="dxa"/>
              <w:bottom w:w="80" w:type="dxa"/>
              <w:end w:w="90" w:type="dxa"/>
            </w:tcMar>
            <w:vAlign w:val="center"/>
          </w:tcPr>
          <w:p>
            <w:pPr>
              <w:keepNext/>
              <w:spacing w:after="0" w:line="240" w:lineRule="auto"/>
            </w:pPr>
            <w:r>
              <w:rPr>
                <w:b/>
                <w:color w:val="12304A"/>
                <w:sz w:val="16"/>
              </w:rPr>
              <w:t xml:space="preserve">Last 12 months, GAAP</w:t>
            </w:r>
          </w:p>
        </w:tc>
        <w:tc>
          <w:tcPr>
            <w:tcW w:type="dxa" w:w="3300"/>
            <w:tcMar>
              <w:top w:w="80" w:type="dxa"/>
              <w:start w:w="90" w:type="dxa"/>
              <w:bottom w:w="80" w:type="dxa"/>
              <w:end w:w="90" w:type="dxa"/>
            </w:tcMar>
            <w:vAlign w:val="center"/>
          </w:tcPr>
          <w:p>
            <w:pPr>
              <w:keepNext/>
              <w:spacing w:after="0" w:line="240" w:lineRule="auto"/>
            </w:pPr>
            <w:r>
              <w:rPr>
                <w:color w:val="182633"/>
                <w:sz w:val="16"/>
              </w:rPr>
              <w:t xml:space="preserve">Net loss (incl. $157.7M of Q1 charges)</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Loss</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n.m.</w:t>
            </w:r>
          </w:p>
        </w:tc>
      </w:tr>
      <w:tr>
        <w:trPr>
          <w:cantSplit/>
        </w:trPr>
        <w:tc>
          <w:tcPr>
            <w:tcW w:type="dxa" w:w="32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Last 12 months, adjusted</w:t>
            </w:r>
          </w:p>
        </w:tc>
        <w:tc>
          <w:tcPr>
            <w:tcW w:type="dxa" w:w="33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Adjusted net loss of ~$11.2M</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Loss</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n.m.</w:t>
            </w:r>
          </w:p>
        </w:tc>
      </w:tr>
      <w:tr>
        <w:trPr>
          <w:cantSplit/>
        </w:trPr>
        <w:tc>
          <w:tcPr>
            <w:tcW w:type="dxa" w:w="3236"/>
            <w:tcMar>
              <w:top w:w="80" w:type="dxa"/>
              <w:start w:w="90" w:type="dxa"/>
              <w:bottom w:w="80" w:type="dxa"/>
              <w:end w:w="90" w:type="dxa"/>
            </w:tcMar>
            <w:vAlign w:val="center"/>
          </w:tcPr>
          <w:p>
            <w:pPr>
              <w:keepNext/>
              <w:spacing w:after="0" w:line="240" w:lineRule="auto"/>
            </w:pPr>
            <w:r>
              <w:rPr>
                <w:b/>
                <w:color w:val="12304A"/>
                <w:sz w:val="16"/>
              </w:rPr>
              <w:t xml:space="preserve">Q1 FY2027 run-rate</w:t>
            </w:r>
          </w:p>
        </w:tc>
        <w:tc>
          <w:tcPr>
            <w:tcW w:type="dxa" w:w="3300"/>
            <w:tcMar>
              <w:top w:w="80" w:type="dxa"/>
              <w:start w:w="90" w:type="dxa"/>
              <w:bottom w:w="80" w:type="dxa"/>
              <w:end w:w="90" w:type="dxa"/>
            </w:tcMar>
            <w:vAlign w:val="center"/>
          </w:tcPr>
          <w:p>
            <w:pPr>
              <w:keepNext/>
              <w:spacing w:after="0" w:line="240" w:lineRule="auto"/>
            </w:pPr>
            <w:r>
              <w:rPr>
                <w:color w:val="182633"/>
                <w:sz w:val="16"/>
              </w:rPr>
              <w:t xml:space="preserve">$4.0M x 4 / 39.41M shares today</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~$0.41</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~75x</w:t>
            </w:r>
          </w:p>
        </w:tc>
      </w:tr>
      <w:tr>
        <w:trPr>
          <w:cantSplit/>
        </w:trPr>
        <w:tc>
          <w:tcPr>
            <w:tcW w:type="dxa" w:w="32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Q2 FY2027 guide run-rate</w:t>
            </w:r>
          </w:p>
        </w:tc>
        <w:tc>
          <w:tcPr>
            <w:tcW w:type="dxa" w:w="33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$0.12 a quarter x 4</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~$0.48</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~63x</w:t>
            </w:r>
          </w:p>
        </w:tc>
      </w:tr>
      <w:tr>
        <w:trPr>
          <w:cantSplit/>
        </w:trPr>
        <w:tc>
          <w:tcPr>
            <w:tcW w:type="dxa" w:w="3236"/>
            <w:tcMar>
              <w:top w:w="80" w:type="dxa"/>
              <w:start w:w="90" w:type="dxa"/>
              <w:bottom w:w="80" w:type="dxa"/>
              <w:end w:w="90" w:type="dxa"/>
            </w:tcMar>
            <w:vAlign w:val="center"/>
          </w:tcPr>
          <w:p>
            <w:pPr>
              <w:keepNext/>
              <w:spacing w:after="0" w:line="240" w:lineRule="auto"/>
            </w:pPr>
            <w:r>
              <w:rPr>
                <w:b/>
                <w:color w:val="12304A"/>
                <w:sz w:val="16"/>
              </w:rPr>
              <w:t xml:space="preserve">Consensus forward</w:t>
            </w:r>
          </w:p>
        </w:tc>
        <w:tc>
          <w:tcPr>
            <w:tcW w:type="dxa" w:w="3300"/>
            <w:tcMar>
              <w:top w:w="80" w:type="dxa"/>
              <w:start w:w="90" w:type="dxa"/>
              <w:bottom w:w="80" w:type="dxa"/>
              <w:end w:w="90" w:type="dxa"/>
            </w:tcMar>
            <w:vAlign w:val="center"/>
          </w:tcPr>
          <w:p>
            <w:pPr>
              <w:keepNext/>
              <w:spacing w:after="0" w:line="240" w:lineRule="auto"/>
            </w:pPr>
            <w:r>
              <w:rPr>
                <w:color w:val="182633"/>
                <w:sz w:val="16"/>
              </w:rPr>
              <w:t xml:space="preserve">Analyst estimates (StockAnalysis)</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~$0.54</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~57x</w:t>
            </w:r>
          </w:p>
        </w:tc>
      </w:tr>
      <w:tr>
        <w:trPr>
          <w:cantSplit/>
        </w:trPr>
        <w:tc>
          <w:tcPr>
            <w:tcW w:type="dxa" w:w="3236"/>
            <w:shd w:val="clear" w:color="auto" w:fill="F5F7F9"/>
            <w:tcMar>
              <w:top w:w="80" w:type="dxa"/>
              <w:start w:w="90" w:type="dxa"/>
              <w:bottom w:w="80" w:type="dxa"/>
              <w:end w:w="90" w:type="dxa"/>
            </w:tcMar>
            <w:vAlign w:val="center"/>
          </w:tcPr>
          <w:p>
            <w:pPr>
              <w:spacing w:after="0" w:line="240" w:lineRule="auto"/>
            </w:pPr>
            <w:r>
              <w:rPr>
                <w:b/>
                <w:color w:val="12304A"/>
                <w:sz w:val="16"/>
              </w:rPr>
              <w:t xml:space="preserve">Competitor median, forward</w:t>
            </w:r>
          </w:p>
        </w:tc>
        <w:tc>
          <w:tcPr>
            <w:tcW w:type="dxa" w:w="3300"/>
            <w:shd w:val="clear" w:color="auto" w:fill="F5F7F9"/>
            <w:tcMar>
              <w:top w:w="80" w:type="dxa"/>
              <w:start w:w="90" w:type="dxa"/>
              <w:bottom w:w="80" w:type="dxa"/>
              <w:end w:w="90" w:type="dxa"/>
            </w:tcMar>
            <w:vAlign w:val="center"/>
          </w:tcPr>
          <w:p>
            <w:pPr>
              <w:spacing w:after="0" w:line="240" w:lineRule="auto"/>
            </w:pPr>
            <w:r>
              <w:rPr>
                <w:color w:val="182633"/>
                <w:sz w:val="16"/>
              </w:rPr>
              <w:t xml:space="preserve">Dell, HPE, IBM, NetApp</w:t>
            </w:r>
          </w:p>
        </w:tc>
        <w:tc>
          <w:tcPr>
            <w:tcW w:type="dxa" w:w="1700"/>
            <w:shd w:val="clear" w:color="auto" w:fill="F5F7F9"/>
            <w:tcMar>
              <w:top w:w="80" w:type="dxa"/>
              <w:start w:w="90" w:type="dxa"/>
              <w:bottom w:w="80" w:type="dxa"/>
              <w:end w:w="90" w:type="dxa"/>
            </w:tcMar>
            <w:vAlign w:val="center"/>
          </w:tcPr>
          <w:p>
            <w:pPr>
              <w:spacing w:after="0" w:line="240" w:lineRule="auto"/>
            </w:pPr>
            <w:r>
              <w:rPr>
                <w:color w:val="182633"/>
                <w:sz w:val="16"/>
              </w:rPr>
              <w:t xml:space="preserve"/>
            </w:r>
          </w:p>
        </w:tc>
        <w:tc>
          <w:tcPr>
            <w:tcW w:type="dxa" w:w="1700"/>
            <w:shd w:val="clear" w:color="auto" w:fill="F5F7F9"/>
            <w:tcMar>
              <w:top w:w="80" w:type="dxa"/>
              <w:start w:w="90" w:type="dxa"/>
              <w:bottom w:w="80" w:type="dxa"/>
              <w:end w:w="90" w:type="dxa"/>
            </w:tcMar>
            <w:vAlign w:val="center"/>
          </w:tcPr>
          <w:p>
            <w:pPr>
              <w:spacing w:after="0" w:line="240" w:lineRule="auto"/>
            </w:pPr>
            <w:r>
              <w:rPr>
                <w:color w:val="182633"/>
                <w:sz w:val="16"/>
              </w:rPr>
              <w:t xml:space="preserve">~19x</w:t>
            </w:r>
          </w:p>
        </w:tc>
      </w:tr>
    </w:tbl>
    <w:p>
      <w:pPr>
        <w:spacing w:after="0"/>
      </w:pPr>
    </w:p>
    <w:p>
      <w:pPr>
        <w:pStyle w:val="SmallNote"/>
      </w:pPr>
      <w:r>
        <w:t xml:space="preserve">Adjusted net income (loss) by quarter: Q2 FY2026 -$7.1M, Q3 FY2026 -$4.9M, Q4 FY2026 -$3.1M, Q1 FY2027 +$4.0M [1][6][34][44]. Quantum reported Q1 adjusted EPS of $0.18 on 22.0M weighted shares, because most of the new shares were issued in June. On today’s 39.41M shares the same profit is ~$0.10 a share. The P/E-based value below uses the consensus figure, the most favorable to Quantum.</w:t>
      </w:r>
    </w:p>
    <w:p xmlns:a="http://schemas.openxmlformats.org/drawingml/2006/main" xmlns:pic="http://schemas.openxmlformats.org/drawingml/2006/picture">
      <w:pPr>
        <w:keepNext/>
        <w:spacing w:before="160" w:after="60"/>
        <w:jc w:val="center"/>
      </w:pPr>
      <w:r>
        <w:drawing>
          <wp:inline distT="0" distB="0" distL="0" distR="0">
            <wp:extent cx="6035040" cy="2497257"/>
            <wp:effectExtent l="0" t="0" r="0" b="0"/>
            <wp:docPr id="903" name="Figure 3" descr="Bar charts comparing operating margin and forward P/E for Quantum, HPE, Dell, IBM and NetApp."/>
            <wp:cNvGraphicFramePr>
              <a:graphicFrameLocks noChangeAspect="1"/>
            </wp:cNvGraphicFramePr>
            <a:graphic>
              <a:graphicData uri="http://schemas.openxmlformats.org/drawingml/2006/picture">
                <pic:pic>
                  <pic:nvPicPr>
                    <pic:cNvPr id="903" name="qmco_fig3.png"/>
                    <pic:cNvPicPr/>
                  </pic:nvPicPr>
                  <pic:blipFill>
                    <a:blip r:embed="rId202"/>
                    <a:stretch>
                      <a:fillRect/>
                    </a:stretch>
                  </pic:blipFill>
                  <pic:spPr>
                    <a:xfrm>
                      <a:off x="0" y="0"/>
                      <a:ext cx="6035040" cy="2497257"/>
                    </a:xfrm>
                    <a:prstGeom prst="rect">
                      <a:avLst/>
                    </a:prstGeom>
                  </pic:spPr>
                </pic:pic>
              </a:graphicData>
            </a:graphic>
          </wp:inline>
        </w:drawing>
      </w:r>
    </w:p>
    <w:p>
      <w:pPr>
        <w:pStyle w:val="SmallNote"/>
      </w:pPr>
      <w:r>
        <w:t xml:space="preserve">Figure 3. Operating margin (GAAP, last 12 months) and forward P/E: Quantum against its four main listed competitors. Sources: [1][24][35].</w:t>
      </w:r>
    </w:p>
    <w:p>
      <w:r>
        <w:rPr>
          <w:b/>
        </w:rPr>
        <w:t xml:space="preserve">What competitor multiples would imply.</w:t>
      </w:r>
      <w:r>
        <w:t xml:space="preserve"> If Quantum traded at the competitor medians, its shares would be worth about $10 to $25. Every method gives a value below today’s price.</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036"/>
        <w:gridCol w:w="1700"/>
        <w:gridCol w:w="3000"/>
        <w:gridCol w:w="1800"/>
        <w:gridCol w:w="1400"/>
      </w:tblGrid>
      <w:tr>
        <w:trPr>
          <w:tblHeader/>
          <w:cantSplit/>
        </w:trPr>
        <w:tc>
          <w:tcPr>
            <w:tcW w:type="dxa" w:w="20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Method</w:t>
            </w:r>
          </w:p>
        </w:tc>
        <w:tc>
          <w:tcPr>
            <w:tcW w:type="dxa" w:w="17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Competitor median</w:t>
            </w:r>
          </w:p>
        </w:tc>
        <w:tc>
          <w:tcPr>
            <w:tcW w:type="dxa" w:w="3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Quantum figure used</w:t>
            </w:r>
          </w:p>
        </w:tc>
        <w:tc>
          <w:tcPr>
            <w:tcW w:type="dxa" w:w="18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Value per share</w:t>
            </w:r>
          </w:p>
        </w:tc>
        <w:tc>
          <w:tcPr>
            <w:tcW w:type="dxa" w:w="14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vs. $30.43</w:t>
            </w:r>
          </w:p>
        </w:tc>
      </w:tr>
      <w:tr>
        <w:trPr>
          <w:cantSplit/>
        </w:trPr>
        <w:tc>
          <w:tcPr>
            <w:tcW w:type="dxa" w:w="2036"/>
            <w:tcMar>
              <w:top w:w="80" w:type="dxa"/>
              <w:start w:w="90" w:type="dxa"/>
              <w:bottom w:w="80" w:type="dxa"/>
              <w:end w:w="90" w:type="dxa"/>
            </w:tcMar>
            <w:vAlign w:val="center"/>
          </w:tcPr>
          <w:p>
            <w:pPr>
              <w:keepNext/>
              <w:spacing w:after="0" w:line="240" w:lineRule="auto"/>
            </w:pPr>
            <w:r>
              <w:rPr>
                <w:b/>
                <w:color w:val="12304A"/>
                <w:sz w:val="16"/>
              </w:rPr>
              <w:t xml:space="preserve">EV / Sales</w:t>
            </w:r>
          </w:p>
        </w:tc>
        <w:tc>
          <w:tcPr>
            <w:tcW w:type="dxa" w:w="1700"/>
            <w:tcMar>
              <w:top w:w="80" w:type="dxa"/>
              <w:start w:w="90" w:type="dxa"/>
              <w:bottom w:w="80" w:type="dxa"/>
              <w:end w:w="90" w:type="dxa"/>
            </w:tcMar>
            <w:vAlign w:val="center"/>
          </w:tcPr>
          <w:p>
            <w:pPr>
              <w:keepNext/>
              <w:spacing w:after="0" w:line="240" w:lineRule="auto"/>
            </w:pPr>
            <w:r>
              <w:rPr>
                <w:color w:val="182633"/>
                <w:sz w:val="16"/>
              </w:rPr>
              <w:t xml:space="preserve">3.3x</w:t>
            </w:r>
          </w:p>
        </w:tc>
        <w:tc>
          <w:tcPr>
            <w:tcW w:type="dxa" w:w="3000"/>
            <w:tcMar>
              <w:top w:w="80" w:type="dxa"/>
              <w:start w:w="90" w:type="dxa"/>
              <w:bottom w:w="80" w:type="dxa"/>
              <w:end w:w="90" w:type="dxa"/>
            </w:tcMar>
            <w:vAlign w:val="center"/>
          </w:tcPr>
          <w:p>
            <w:pPr>
              <w:keepNext/>
              <w:spacing w:after="0" w:line="240" w:lineRule="auto"/>
            </w:pPr>
            <w:r>
              <w:rPr>
                <w:color w:val="182633"/>
                <w:sz w:val="16"/>
              </w:rPr>
              <w:t xml:space="preserve">Revenue, last 12 months: $296.1M</w:t>
            </w:r>
          </w:p>
        </w:tc>
        <w:tc>
          <w:tcPr>
            <w:tcW w:type="dxa" w:w="1800"/>
            <w:tcMar>
              <w:top w:w="80" w:type="dxa"/>
              <w:start w:w="90" w:type="dxa"/>
              <w:bottom w:w="80" w:type="dxa"/>
              <w:end w:w="90" w:type="dxa"/>
            </w:tcMar>
            <w:vAlign w:val="center"/>
          </w:tcPr>
          <w:p>
            <w:pPr>
              <w:keepNext/>
              <w:spacing w:after="0" w:line="240" w:lineRule="auto"/>
            </w:pPr>
            <w:r>
              <w:rPr>
                <w:color w:val="182633"/>
                <w:sz w:val="16"/>
              </w:rPr>
              <w:t xml:space="preserve">~$25</w:t>
            </w:r>
          </w:p>
        </w:tc>
        <w:tc>
          <w:tcPr>
            <w:tcW w:type="dxa" w:w="1400"/>
            <w:tcMar>
              <w:top w:w="80" w:type="dxa"/>
              <w:start w:w="90" w:type="dxa"/>
              <w:bottom w:w="80" w:type="dxa"/>
              <w:end w:w="90" w:type="dxa"/>
            </w:tcMar>
            <w:vAlign w:val="center"/>
          </w:tcPr>
          <w:p>
            <w:pPr>
              <w:keepNext/>
              <w:spacing w:after="0" w:line="240" w:lineRule="auto"/>
            </w:pPr>
            <w:r>
              <w:rPr>
                <w:color w:val="182633"/>
                <w:sz w:val="16"/>
              </w:rPr>
              <w:t xml:space="preserve">-19%</w:t>
            </w:r>
          </w:p>
        </w:tc>
      </w:tr>
      <w:tr>
        <w:trPr>
          <w:cantSplit/>
        </w:trPr>
        <w:tc>
          <w:tcPr>
            <w:tcW w:type="dxa" w:w="20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EV / EBITDA</w:t>
            </w:r>
          </w:p>
        </w:tc>
        <w:tc>
          <w:tcPr>
            <w:tcW w:type="dxa" w:w="17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18.8x</w:t>
            </w:r>
          </w:p>
        </w:tc>
        <w:tc>
          <w:tcPr>
            <w:tcW w:type="dxa" w:w="3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Run-rate adj. EBITDA: ~$28M</w:t>
            </w:r>
          </w:p>
        </w:tc>
        <w:tc>
          <w:tcPr>
            <w:tcW w:type="dxa" w:w="18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~$14</w:t>
            </w:r>
          </w:p>
        </w:tc>
        <w:tc>
          <w:tcPr>
            <w:tcW w:type="dxa" w:w="14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-54%</w:t>
            </w:r>
          </w:p>
        </w:tc>
      </w:tr>
      <w:tr>
        <w:trPr>
          <w:cantSplit/>
        </w:trPr>
        <w:tc>
          <w:tcPr>
            <w:tcW w:type="dxa" w:w="2036"/>
            <w:tcMar>
              <w:top w:w="80" w:type="dxa"/>
              <w:start w:w="90" w:type="dxa"/>
              <w:bottom w:w="80" w:type="dxa"/>
              <w:end w:w="90" w:type="dxa"/>
            </w:tcMar>
            <w:vAlign w:val="center"/>
          </w:tcPr>
          <w:p>
            <w:pPr>
              <w:spacing w:after="0" w:line="240" w:lineRule="auto"/>
            </w:pPr>
            <w:r>
              <w:rPr>
                <w:b/>
                <w:color w:val="12304A"/>
                <w:sz w:val="16"/>
              </w:rPr>
              <w:t xml:space="preserve">Forward P/E</w:t>
            </w:r>
          </w:p>
        </w:tc>
        <w:tc>
          <w:tcPr>
            <w:tcW w:type="dxa" w:w="1700"/>
            <w:tcMar>
              <w:top w:w="80" w:type="dxa"/>
              <w:start w:w="90" w:type="dxa"/>
              <w:bottom w:w="80" w:type="dxa"/>
              <w:end w:w="90" w:type="dxa"/>
            </w:tcMar>
            <w:vAlign w:val="center"/>
          </w:tcPr>
          <w:p>
            <w:pPr>
              <w:spacing w:after="0" w:line="240" w:lineRule="auto"/>
            </w:pPr>
            <w:r>
              <w:rPr>
                <w:color w:val="182633"/>
                <w:sz w:val="16"/>
              </w:rPr>
              <w:t xml:space="preserve">19.3x</w:t>
            </w:r>
          </w:p>
        </w:tc>
        <w:tc>
          <w:tcPr>
            <w:tcW w:type="dxa" w:w="3000"/>
            <w:tcMar>
              <w:top w:w="80" w:type="dxa"/>
              <w:start w:w="90" w:type="dxa"/>
              <w:bottom w:w="80" w:type="dxa"/>
              <w:end w:w="90" w:type="dxa"/>
            </w:tcMar>
            <w:vAlign w:val="center"/>
          </w:tcPr>
          <w:p>
            <w:pPr>
              <w:spacing w:after="0" w:line="240" w:lineRule="auto"/>
            </w:pPr>
            <w:r>
              <w:rPr>
                <w:color w:val="182633"/>
                <w:sz w:val="16"/>
              </w:rPr>
              <w:t xml:space="preserve">Forward EPS implied by consensus: ~$0.54</w:t>
            </w:r>
          </w:p>
        </w:tc>
        <w:tc>
          <w:tcPr>
            <w:tcW w:type="dxa" w:w="1800"/>
            <w:tcMar>
              <w:top w:w="80" w:type="dxa"/>
              <w:start w:w="90" w:type="dxa"/>
              <w:bottom w:w="80" w:type="dxa"/>
              <w:end w:w="90" w:type="dxa"/>
            </w:tcMar>
            <w:vAlign w:val="center"/>
          </w:tcPr>
          <w:p>
            <w:pPr>
              <w:spacing w:after="0" w:line="240" w:lineRule="auto"/>
            </w:pPr>
            <w:r>
              <w:rPr>
                <w:color w:val="182633"/>
                <w:sz w:val="16"/>
              </w:rPr>
              <w:t xml:space="preserve">~$10</w:t>
            </w:r>
          </w:p>
        </w:tc>
        <w:tc>
          <w:tcPr>
            <w:tcW w:type="dxa" w:w="1400"/>
            <w:tcMar>
              <w:top w:w="80" w:type="dxa"/>
              <w:start w:w="90" w:type="dxa"/>
              <w:bottom w:w="80" w:type="dxa"/>
              <w:end w:w="90" w:type="dxa"/>
            </w:tcMar>
            <w:vAlign w:val="center"/>
          </w:tcPr>
          <w:p>
            <w:pPr>
              <w:spacing w:after="0" w:line="240" w:lineRule="auto"/>
            </w:pPr>
            <w:r>
              <w:rPr>
                <w:color w:val="182633"/>
                <w:sz w:val="16"/>
              </w:rPr>
              <w:t xml:space="preserve">-66%</w:t>
            </w:r>
          </w:p>
        </w:tc>
      </w:tr>
    </w:tbl>
    <w:p>
      <w:pPr>
        <w:spacing w:after="0"/>
      </w:pPr>
    </w:p>
    <w:p>
      <w:pPr>
        <w:pStyle w:val="SmallNote"/>
      </w:pPr>
      <w:r>
        <w:t xml:space="preserve">Cross-check only, not a price target. Enterprise values are converted to per-share values the same way as the scenarios. Forward EPS = $30.43 / 56.9x forward P/E [24][35].</w:t>
      </w:r>
    </w:p>
    <w:p>
      <w:pPr>
        <w:pStyle w:val="Heading1"/>
      </w:pPr>
      <w:r>
        <w:t xml:space="preserve">4. Market size, competition and substitution</w:t>
      </w:r>
    </w:p>
    <w:p>
      <w:pPr>
        <w:pStyle w:val="Heading2"/>
      </w:pPr>
      <w:r>
        <w:t xml:space="preserve">Market size</w:t>
      </w:r>
    </w:p>
    <w:p>
      <w:r>
        <w:rPr>
          <w:b/>
        </w:rPr>
        <w:t xml:space="preserve">How big is the market?</w:t>
      </w:r>
      <w:r>
        <w:t xml:space="preserve"> Estimates vary widely, because sources count different things (drives, media, libraries, services). Allied Market Research put the tape storage market at $4.31B in 2019, growing 7.8% a year to $9.42B by 2030. Research and Markets puts it at $7.6B in 2025, growing 10% a year to $17.9B by 2034. Both are paid industry reports, and their methods are not public. Allied’s own growth rate gives about $6.8B for 2025. So a working range for 2025 is about $6.8B to $7.6B, with forecasts of 8% to 10% growth a year (author calc.) [38][39].</w:t>
      </w:r>
    </w:p>
    <w:p>
      <w:r>
        <w:rPr>
          <w:b/>
        </w:rPr>
        <w:t xml:space="preserve">How fast is volume growing?</w:t>
      </w:r>
      <w:r>
        <w:t xml:space="preserve"> LTO tape capacity shipped rose from 105 EB in 2020 to 160.3 EB in 2025, about 9% a year. But most of that came in 2021 (+40%). From 2021 to 2025 the rate was only about 2% a year, including a 9% drop in 2025. An IDC analyst linked the 2023 growth mainly to denser cartridges, not to many new buyers. Q1 2026 was +57% YoY. One strong quarter is not yet a trend [19][40][41].</w:t>
      </w:r>
    </w:p>
    <w:p xmlns:a="http://schemas.openxmlformats.org/drawingml/2006/main" xmlns:pic="http://schemas.openxmlformats.org/drawingml/2006/picture">
      <w:pPr>
        <w:keepNext/>
        <w:spacing w:before="160" w:after="60"/>
        <w:jc w:val="center"/>
      </w:pPr>
      <w:r>
        <w:drawing>
          <wp:inline distT="0" distB="0" distL="0" distR="0">
            <wp:extent cx="5486400" cy="2230592"/>
            <wp:effectExtent l="0" t="0" r="0" b="0"/>
            <wp:docPr id="904" name="Figure 4" descr="Bar chart of LTO tape capacity shipped per year from 2020 to 2025 in exabytes."/>
            <wp:cNvGraphicFramePr>
              <a:graphicFrameLocks noChangeAspect="1"/>
            </wp:cNvGraphicFramePr>
            <a:graphic>
              <a:graphicData uri="http://schemas.openxmlformats.org/drawingml/2006/picture">
                <pic:pic>
                  <pic:nvPicPr>
                    <pic:cNvPr id="904" name="qmco_fig4.png"/>
                    <pic:cNvPicPr/>
                  </pic:nvPicPr>
                  <pic:blipFill>
                    <a:blip r:embed="rId203"/>
                    <a:stretch>
                      <a:fillRect/>
                    </a:stretch>
                  </pic:blipFill>
                  <pic:spPr>
                    <a:xfrm>
                      <a:off x="0" y="0"/>
                      <a:ext cx="5486400" cy="2230592"/>
                    </a:xfrm>
                    <a:prstGeom prst="rect">
                      <a:avLst/>
                    </a:prstGeom>
                  </pic:spPr>
                </pic:pic>
              </a:graphicData>
            </a:graphic>
          </wp:inline>
        </w:drawing>
      </w:r>
    </w:p>
    <w:p>
      <w:pPr>
        <w:pStyle w:val="SmallNote"/>
      </w:pPr>
      <w:r>
        <w:t xml:space="preserve">Figure 4. LTO tape capacity shipped per year (compressed). Q1 2026 was +57% YoY. Sources: [19][40][41].</w:t>
      </w:r>
    </w:p>
    <w:p>
      <w:r>
        <w:rPr>
          <w:b/>
        </w:rPr>
        <w:t xml:space="preserve">Quantum’s share.</w:t>
      </w:r>
      <w:r>
        <w:t xml:space="preserve"> Quantum does not report tape revenue on its own. In FY2026 its secondary storage revenue (Scalar tape, DXi backup and ActiveScale object storage) was about $101M, devices and media about $41M, and royalties $8.0M (author calc. from 10-K growth figures) [3]. Even if all ~$150M were tape-related, that is only about 2% of the market range above. Quantum is one of three LTO technology providers, with HPE and IBM, which earns it royalties on LTO media. IBM is reported to be the last maker of LTO drives [3][19][20].</w:t>
      </w:r>
    </w:p>
    <w:p>
      <w:pPr>
        <w:pStyle w:val="Heading2"/>
      </w:pPr>
      <w:r>
        <w:t xml:space="preserve">Competition</w:t>
      </w:r>
    </w:p>
    <w:p>
      <w:r>
        <w:rPr>
          <w:b/>
        </w:rPr>
        <w:t xml:space="preserve">Competition is much bigger.</w:t>
      </w:r>
      <w:r>
        <w:t xml:space="preserve"> Quantum had about $296M of revenue in the last 12 months. NetApp’s revenue is about 25 times larger. HPE’s is about 141 times, IBM’s about 233 times and Dell’s about 511 times. These rivals have far more money for research, sales and pricing. IBM also makes the tape drives Quantum depends on. Even so, Quantum’s shares trade at about 57 times expected earnings, against about 16 to 24 times for the larger companies [3][24][35].</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936"/>
        <w:gridCol w:w="2200"/>
        <w:gridCol w:w="2800"/>
        <w:gridCol w:w="2000"/>
      </w:tblGrid>
      <w:tr>
        <w:trPr>
          <w:tblHeader/>
          <w:cantSplit/>
        </w:trPr>
        <w:tc>
          <w:tcPr>
            <w:tcW w:type="dxa" w:w="29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Company</w:t>
            </w:r>
          </w:p>
        </w:tc>
        <w:tc>
          <w:tcPr>
            <w:tcW w:type="dxa" w:w="22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Market cap</w:t>
            </w:r>
          </w:p>
        </w:tc>
        <w:tc>
          <w:tcPr>
            <w:tcW w:type="dxa" w:w="28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Revenue, last 12 months</w:t>
            </w:r>
          </w:p>
        </w:tc>
        <w:tc>
          <w:tcPr>
            <w:tcW w:type="dxa" w:w="20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Times Quantum’s revenue</w:t>
            </w:r>
          </w:p>
        </w:tc>
      </w:tr>
      <w:tr>
        <w:trPr>
          <w:cantSplit/>
        </w:trPr>
        <w:tc>
          <w:tcPr>
            <w:tcW w:type="dxa" w:w="2936"/>
            <w:tcMar>
              <w:top w:w="80" w:type="dxa"/>
              <w:start w:w="90" w:type="dxa"/>
              <w:bottom w:w="80" w:type="dxa"/>
              <w:end w:w="90" w:type="dxa"/>
            </w:tcMar>
            <w:vAlign w:val="center"/>
          </w:tcPr>
          <w:p>
            <w:pPr>
              <w:keepNext/>
              <w:spacing w:after="0" w:line="240" w:lineRule="auto"/>
            </w:pPr>
            <w:r>
              <w:rPr>
                <w:b/>
                <w:color w:val="12304A"/>
                <w:sz w:val="16"/>
              </w:rPr>
              <w:t xml:space="preserve">Quantum (QMCO)</w:t>
            </w:r>
          </w:p>
        </w:tc>
        <w:tc>
          <w:tcPr>
            <w:tcW w:type="dxa" w:w="2200"/>
            <w:tcMar>
              <w:top w:w="80" w:type="dxa"/>
              <w:start w:w="90" w:type="dxa"/>
              <w:bottom w:w="80" w:type="dxa"/>
              <w:end w:w="90" w:type="dxa"/>
            </w:tcMar>
            <w:vAlign w:val="center"/>
          </w:tcPr>
          <w:p>
            <w:pPr>
              <w:keepNext/>
              <w:spacing w:after="0" w:line="240" w:lineRule="auto"/>
            </w:pPr>
            <w:r>
              <w:rPr>
                <w:color w:val="182633"/>
                <w:sz w:val="16"/>
              </w:rPr>
              <w:t xml:space="preserve">$1.20B</w:t>
            </w:r>
          </w:p>
        </w:tc>
        <w:tc>
          <w:tcPr>
            <w:tcW w:type="dxa" w:w="2800"/>
            <w:tcMar>
              <w:top w:w="80" w:type="dxa"/>
              <w:start w:w="90" w:type="dxa"/>
              <w:bottom w:w="80" w:type="dxa"/>
              <w:end w:w="90" w:type="dxa"/>
            </w:tcMar>
            <w:vAlign w:val="center"/>
          </w:tcPr>
          <w:p>
            <w:pPr>
              <w:keepNext/>
              <w:spacing w:after="0" w:line="240" w:lineRule="auto"/>
            </w:pPr>
            <w:r>
              <w:rPr>
                <w:color w:val="182633"/>
                <w:sz w:val="16"/>
              </w:rPr>
              <w:t xml:space="preserve">$296M</w:t>
            </w:r>
          </w:p>
        </w:tc>
        <w:tc>
          <w:tcPr>
            <w:tcW w:type="dxa" w:w="2000"/>
            <w:tcMar>
              <w:top w:w="80" w:type="dxa"/>
              <w:start w:w="90" w:type="dxa"/>
              <w:bottom w:w="80" w:type="dxa"/>
              <w:end w:w="90" w:type="dxa"/>
            </w:tcMar>
            <w:vAlign w:val="center"/>
          </w:tcPr>
          <w:p>
            <w:pPr>
              <w:keepNext/>
              <w:spacing w:after="0" w:line="240" w:lineRule="auto"/>
            </w:pPr>
            <w:r>
              <w:rPr>
                <w:color w:val="182633"/>
                <w:sz w:val="16"/>
              </w:rPr>
              <w:t xml:space="preserve">1x</w:t>
            </w:r>
          </w:p>
        </w:tc>
      </w:tr>
      <w:tr>
        <w:trPr>
          <w:cantSplit/>
        </w:trPr>
        <w:tc>
          <w:tcPr>
            <w:tcW w:type="dxa" w:w="29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Dell (DELL)</w:t>
            </w:r>
          </w:p>
        </w:tc>
        <w:tc>
          <w:tcPr>
            <w:tcW w:type="dxa" w:w="22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$372.62B</w:t>
            </w:r>
          </w:p>
        </w:tc>
        <w:tc>
          <w:tcPr>
            <w:tcW w:type="dxa" w:w="28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$151.2B</w:t>
            </w:r>
          </w:p>
        </w:tc>
        <w:tc>
          <w:tcPr>
            <w:tcW w:type="dxa" w:w="2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~511x</w:t>
            </w:r>
          </w:p>
        </w:tc>
      </w:tr>
      <w:tr>
        <w:trPr>
          <w:cantSplit/>
        </w:trPr>
        <w:tc>
          <w:tcPr>
            <w:tcW w:type="dxa" w:w="2936"/>
            <w:tcMar>
              <w:top w:w="80" w:type="dxa"/>
              <w:start w:w="90" w:type="dxa"/>
              <w:bottom w:w="80" w:type="dxa"/>
              <w:end w:w="90" w:type="dxa"/>
            </w:tcMar>
            <w:vAlign w:val="center"/>
          </w:tcPr>
          <w:p>
            <w:pPr>
              <w:keepNext/>
              <w:spacing w:after="0" w:line="240" w:lineRule="auto"/>
            </w:pPr>
            <w:r>
              <w:rPr>
                <w:b/>
                <w:color w:val="12304A"/>
                <w:sz w:val="16"/>
              </w:rPr>
              <w:t xml:space="preserve">HPE (HPE)</w:t>
            </w:r>
          </w:p>
        </w:tc>
        <w:tc>
          <w:tcPr>
            <w:tcW w:type="dxa" w:w="2200"/>
            <w:tcMar>
              <w:top w:w="80" w:type="dxa"/>
              <w:start w:w="90" w:type="dxa"/>
              <w:bottom w:w="80" w:type="dxa"/>
              <w:end w:w="90" w:type="dxa"/>
            </w:tcMar>
            <w:vAlign w:val="center"/>
          </w:tcPr>
          <w:p>
            <w:pPr>
              <w:keepNext/>
              <w:spacing w:after="0" w:line="240" w:lineRule="auto"/>
            </w:pPr>
            <w:r>
              <w:rPr>
                <w:color w:val="182633"/>
                <w:sz w:val="16"/>
              </w:rPr>
              <w:t xml:space="preserve">$97.52B</w:t>
            </w:r>
          </w:p>
        </w:tc>
        <w:tc>
          <w:tcPr>
            <w:tcW w:type="dxa" w:w="2800"/>
            <w:tcMar>
              <w:top w:w="80" w:type="dxa"/>
              <w:start w:w="90" w:type="dxa"/>
              <w:bottom w:w="80" w:type="dxa"/>
              <w:end w:w="90" w:type="dxa"/>
            </w:tcMar>
            <w:vAlign w:val="center"/>
          </w:tcPr>
          <w:p>
            <w:pPr>
              <w:keepNext/>
              <w:spacing w:after="0" w:line="240" w:lineRule="auto"/>
            </w:pPr>
            <w:r>
              <w:rPr>
                <w:color w:val="182633"/>
                <w:sz w:val="16"/>
              </w:rPr>
              <w:t xml:space="preserve">$41.87B</w:t>
            </w:r>
          </w:p>
        </w:tc>
        <w:tc>
          <w:tcPr>
            <w:tcW w:type="dxa" w:w="2000"/>
            <w:tcMar>
              <w:top w:w="80" w:type="dxa"/>
              <w:start w:w="90" w:type="dxa"/>
              <w:bottom w:w="80" w:type="dxa"/>
              <w:end w:w="90" w:type="dxa"/>
            </w:tcMar>
            <w:vAlign w:val="center"/>
          </w:tcPr>
          <w:p>
            <w:pPr>
              <w:keepNext/>
              <w:spacing w:after="0" w:line="240" w:lineRule="auto"/>
            </w:pPr>
            <w:r>
              <w:rPr>
                <w:color w:val="182633"/>
                <w:sz w:val="16"/>
              </w:rPr>
              <w:t xml:space="preserve">~141x</w:t>
            </w:r>
          </w:p>
        </w:tc>
      </w:tr>
      <w:tr>
        <w:trPr>
          <w:cantSplit/>
        </w:trPr>
        <w:tc>
          <w:tcPr>
            <w:tcW w:type="dxa" w:w="2936"/>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IBM (IBM)</w:t>
            </w:r>
          </w:p>
        </w:tc>
        <w:tc>
          <w:tcPr>
            <w:tcW w:type="dxa" w:w="22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$213.99B</w:t>
            </w:r>
          </w:p>
        </w:tc>
        <w:tc>
          <w:tcPr>
            <w:tcW w:type="dxa" w:w="28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$69.1B</w:t>
            </w:r>
          </w:p>
        </w:tc>
        <w:tc>
          <w:tcPr>
            <w:tcW w:type="dxa" w:w="2000"/>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~233x</w:t>
            </w:r>
          </w:p>
        </w:tc>
      </w:tr>
      <w:tr>
        <w:trPr>
          <w:cantSplit/>
        </w:trPr>
        <w:tc>
          <w:tcPr>
            <w:tcW w:type="dxa" w:w="2936"/>
            <w:tcMar>
              <w:top w:w="80" w:type="dxa"/>
              <w:start w:w="90" w:type="dxa"/>
              <w:bottom w:w="80" w:type="dxa"/>
              <w:end w:w="90" w:type="dxa"/>
            </w:tcMar>
            <w:vAlign w:val="center"/>
          </w:tcPr>
          <w:p>
            <w:pPr>
              <w:keepNext/>
              <w:spacing w:after="0" w:line="240" w:lineRule="auto"/>
            </w:pPr>
            <w:r>
              <w:rPr>
                <w:b/>
                <w:color w:val="12304A"/>
                <w:sz w:val="16"/>
              </w:rPr>
              <w:t xml:space="preserve">NetApp (NTAP)</w:t>
            </w:r>
          </w:p>
        </w:tc>
        <w:tc>
          <w:tcPr>
            <w:tcW w:type="dxa" w:w="2200"/>
            <w:tcMar>
              <w:top w:w="80" w:type="dxa"/>
              <w:start w:w="90" w:type="dxa"/>
              <w:bottom w:w="80" w:type="dxa"/>
              <w:end w:w="90" w:type="dxa"/>
            </w:tcMar>
            <w:vAlign w:val="center"/>
          </w:tcPr>
          <w:p>
            <w:pPr>
              <w:keepNext/>
              <w:spacing w:after="0" w:line="240" w:lineRule="auto"/>
            </w:pPr>
            <w:r>
              <w:rPr>
                <w:color w:val="182633"/>
                <w:sz w:val="16"/>
              </w:rPr>
              <w:t xml:space="preserve">$46.58B</w:t>
            </w:r>
          </w:p>
        </w:tc>
        <w:tc>
          <w:tcPr>
            <w:tcW w:type="dxa" w:w="2800"/>
            <w:tcMar>
              <w:top w:w="80" w:type="dxa"/>
              <w:start w:w="90" w:type="dxa"/>
              <w:bottom w:w="80" w:type="dxa"/>
              <w:end w:w="90" w:type="dxa"/>
            </w:tcMar>
            <w:vAlign w:val="center"/>
          </w:tcPr>
          <w:p>
            <w:pPr>
              <w:keepNext/>
              <w:spacing w:after="0" w:line="240" w:lineRule="auto"/>
            </w:pPr>
            <w:r>
              <w:rPr>
                <w:color w:val="182633"/>
                <w:sz w:val="16"/>
              </w:rPr>
              <w:t xml:space="preserve">$7.39B</w:t>
            </w:r>
          </w:p>
        </w:tc>
        <w:tc>
          <w:tcPr>
            <w:tcW w:type="dxa" w:w="2000"/>
            <w:tcMar>
              <w:top w:w="80" w:type="dxa"/>
              <w:start w:w="90" w:type="dxa"/>
              <w:bottom w:w="80" w:type="dxa"/>
              <w:end w:w="90" w:type="dxa"/>
            </w:tcMar>
            <w:vAlign w:val="center"/>
          </w:tcPr>
          <w:p>
            <w:pPr>
              <w:keepNext/>
              <w:spacing w:after="0" w:line="240" w:lineRule="auto"/>
            </w:pPr>
            <w:r>
              <w:rPr>
                <w:color w:val="182633"/>
                <w:sz w:val="16"/>
              </w:rPr>
              <w:t xml:space="preserve">~25x</w:t>
            </w:r>
          </w:p>
        </w:tc>
      </w:tr>
      <w:tr>
        <w:trPr>
          <w:cantSplit/>
        </w:trPr>
        <w:tc>
          <w:tcPr>
            <w:tcW w:type="dxa" w:w="2936"/>
            <w:shd w:val="clear" w:color="auto" w:fill="F5F7F9"/>
            <w:tcMar>
              <w:top w:w="80" w:type="dxa"/>
              <w:start w:w="90" w:type="dxa"/>
              <w:bottom w:w="80" w:type="dxa"/>
              <w:end w:w="90" w:type="dxa"/>
            </w:tcMar>
            <w:vAlign w:val="center"/>
          </w:tcPr>
          <w:p>
            <w:pPr>
              <w:spacing w:after="0" w:line="240" w:lineRule="auto"/>
            </w:pPr>
            <w:r>
              <w:rPr>
                <w:b/>
                <w:color w:val="12304A"/>
                <w:sz w:val="16"/>
              </w:rPr>
              <w:t xml:space="preserve">Seagate (STX)</w:t>
            </w:r>
          </w:p>
        </w:tc>
        <w:tc>
          <w:tcPr>
            <w:tcW w:type="dxa" w:w="2200"/>
            <w:shd w:val="clear" w:color="auto" w:fill="F5F7F9"/>
            <w:tcMar>
              <w:top w:w="80" w:type="dxa"/>
              <w:start w:w="90" w:type="dxa"/>
              <w:bottom w:w="80" w:type="dxa"/>
              <w:end w:w="90" w:type="dxa"/>
            </w:tcMar>
            <w:vAlign w:val="center"/>
          </w:tcPr>
          <w:p>
            <w:pPr>
              <w:spacing w:after="0" w:line="240" w:lineRule="auto"/>
            </w:pPr>
            <w:r>
              <w:rPr>
                <w:color w:val="182633"/>
                <w:sz w:val="16"/>
              </w:rPr>
              <w:t xml:space="preserve">$178.05B</w:t>
            </w:r>
          </w:p>
        </w:tc>
        <w:tc>
          <w:tcPr>
            <w:tcW w:type="dxa" w:w="2800"/>
            <w:shd w:val="clear" w:color="auto" w:fill="F5F7F9"/>
            <w:tcMar>
              <w:top w:w="80" w:type="dxa"/>
              <w:start w:w="90" w:type="dxa"/>
              <w:bottom w:w="80" w:type="dxa"/>
              <w:end w:w="90" w:type="dxa"/>
            </w:tcMar>
            <w:vAlign w:val="center"/>
          </w:tcPr>
          <w:p>
            <w:pPr>
              <w:spacing w:after="0" w:line="240" w:lineRule="auto"/>
            </w:pPr>
            <w:r>
              <w:rPr>
                <w:color w:val="182633"/>
                <w:sz w:val="16"/>
              </w:rPr>
              <w:t xml:space="preserve">$12.2B</w:t>
            </w:r>
          </w:p>
        </w:tc>
        <w:tc>
          <w:tcPr>
            <w:tcW w:type="dxa" w:w="2000"/>
            <w:shd w:val="clear" w:color="auto" w:fill="F5F7F9"/>
            <w:tcMar>
              <w:top w:w="80" w:type="dxa"/>
              <w:start w:w="90" w:type="dxa"/>
              <w:bottom w:w="80" w:type="dxa"/>
              <w:end w:w="90" w:type="dxa"/>
            </w:tcMar>
            <w:vAlign w:val="center"/>
          </w:tcPr>
          <w:p>
            <w:pPr>
              <w:spacing w:after="0" w:line="240" w:lineRule="auto"/>
            </w:pPr>
            <w:r>
              <w:rPr>
                <w:color w:val="182633"/>
                <w:sz w:val="16"/>
              </w:rPr>
              <w:t xml:space="preserve">~41x</w:t>
            </w:r>
          </w:p>
        </w:tc>
      </w:tr>
    </w:tbl>
    <w:p>
      <w:pPr>
        <w:spacing w:after="0"/>
      </w:pPr>
    </w:p>
    <w:p>
      <w:pPr>
        <w:pStyle w:val="SmallNote"/>
      </w:pPr>
      <w:r>
        <w:t xml:space="preserve">StockAnalysis data at the Oct. 9, 2026 close [23][35]. Quantum’s last-12-month revenue ($296.1M) matches the sum of its filed quarters: $62.7M + $74.6M + $78.0M + $80.8M for Q2 FY2026 to Q1 FY2027 [1][6][34]. Seagate makes hard drives; it is shown as a storage peer, not a direct rival.</w:t>
      </w:r>
    </w:p>
    <w:p>
      <w:r>
        <w:rPr>
          <w:b/>
        </w:rPr>
        <w:t xml:space="preserve">IBM dependence.</w:t>
      </w:r>
      <w:r>
        <w:t xml:space="preserve"> On the August call the CEO named IBM as the primary tape-drive supplier and said Quantum was “still not getting adequate supply” [5]. IBM is reported to be the last LTO drive manufacturer [20]. The 10-K lists IBM as a competitor in tape and in primary and object storage [3]. IBM also sells a tape library aimed at hyperscalers [21]. A rival’s output therefore sets part of Quantum’s revenue ceiling.</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600"/>
        <w:gridCol w:w="3936"/>
        <w:gridCol w:w="3400"/>
      </w:tblGrid>
      <w:tr>
        <w:trPr>
          <w:tblHeader/>
          <w:cantSplit/>
        </w:trPr>
        <w:tc>
          <w:tcPr>
            <w:tcW w:type="dxa" w:w="2600"/>
            <w:shd w:val="clear" w:color="auto" w:fill="12304A"/>
            <w:tcMar>
              <w:top w:w="80" w:type="dxa"/>
              <w:start w:w="90" w:type="dxa"/>
              <w:bottom w:w="80" w:type="dxa"/>
              <w:end w:w="90" w:type="dxa"/>
            </w:tcMar>
            <w:vAlign w:val="center"/>
          </w:tcPr>
          <w:p>
            <w:pPr>
              <w:spacing w:after="0" w:line="240" w:lineRule="auto"/>
            </w:pPr>
            <w:r>
              <w:rPr>
                <w:b/>
                <w:color w:val="FFFFFF"/>
                <w:sz w:val="16"/>
              </w:rPr>
              <w:t xml:space="preserve">Segment</w:t>
            </w:r>
          </w:p>
        </w:tc>
        <w:tc>
          <w:tcPr>
            <w:tcW w:type="dxa" w:w="3936"/>
            <w:shd w:val="clear" w:color="auto" w:fill="12304A"/>
            <w:tcMar>
              <w:top w:w="80" w:type="dxa"/>
              <w:start w:w="90" w:type="dxa"/>
              <w:bottom w:w="80" w:type="dxa"/>
              <w:end w:w="90" w:type="dxa"/>
            </w:tcMar>
            <w:vAlign w:val="center"/>
          </w:tcPr>
          <w:p>
            <w:pPr>
              <w:spacing w:after="0" w:line="240" w:lineRule="auto"/>
            </w:pPr>
            <w:r>
              <w:rPr>
                <w:b/>
                <w:color w:val="FFFFFF"/>
                <w:sz w:val="16"/>
              </w:rPr>
              <w:t xml:space="preserve">Main competitors</w:t>
            </w:r>
          </w:p>
        </w:tc>
        <w:tc>
          <w:tcPr>
            <w:tcW w:type="dxa" w:w="3400"/>
            <w:shd w:val="clear" w:color="auto" w:fill="12304A"/>
            <w:tcMar>
              <w:top w:w="80" w:type="dxa"/>
              <w:start w:w="90" w:type="dxa"/>
              <w:bottom w:w="80" w:type="dxa"/>
              <w:end w:w="90" w:type="dxa"/>
            </w:tcMar>
            <w:vAlign w:val="center"/>
          </w:tcPr>
          <w:p>
            <w:pPr>
              <w:spacing w:after="0" w:line="240" w:lineRule="auto"/>
            </w:pPr>
            <w:r>
              <w:rPr>
                <w:b/>
                <w:color w:val="FFFFFF"/>
                <w:sz w:val="16"/>
              </w:rPr>
              <w:t xml:space="preserve">Quantum position</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Tape libraries (Scalar)</w:t>
            </w:r>
          </w:p>
        </w:tc>
        <w:tc>
          <w:tcPr>
            <w:tcW w:type="dxa" w:w="3936"/>
            <w:tcMar>
              <w:top w:w="80" w:type="dxa"/>
              <w:start w:w="90" w:type="dxa"/>
              <w:bottom w:w="80" w:type="dxa"/>
              <w:end w:w="90" w:type="dxa"/>
            </w:tcMar>
            <w:vAlign w:val="center"/>
          </w:tcPr>
          <w:p>
            <w:pPr>
              <w:spacing w:after="0" w:line="240" w:lineRule="auto"/>
            </w:pPr>
            <w:r>
              <w:rPr>
                <w:color w:val="182633"/>
                <w:sz w:val="16"/>
              </w:rPr>
              <w:t xml:space="preserve">IBM, Spectra Logic (private), HPE; BDT and others at entry/OEM level</w:t>
            </w:r>
          </w:p>
        </w:tc>
        <w:tc>
          <w:tcPr>
            <w:tcW w:type="dxa" w:w="3400"/>
            <w:tcMar>
              <w:top w:w="80" w:type="dxa"/>
              <w:start w:w="90" w:type="dxa"/>
              <w:bottom w:w="80" w:type="dxa"/>
              <w:end w:w="90" w:type="dxa"/>
            </w:tcMar>
            <w:vAlign w:val="center"/>
          </w:tcPr>
          <w:p>
            <w:pPr>
              <w:spacing w:after="0" w:line="240" w:lineRule="auto"/>
            </w:pPr>
            <w:r>
              <w:rPr>
                <w:color w:val="182633"/>
                <w:sz w:val="16"/>
              </w:rPr>
              <w:t xml:space="preserve">Core franchise; installed at the largest hyperscalers [3]</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Object storage (ActiveScale)</w:t>
            </w:r>
          </w:p>
        </w:tc>
        <w:tc>
          <w:tcPr>
            <w:tcW w:type="dxa" w:w="3936"/>
            <w:shd w:val="clear" w:color="auto" w:fill="F5F7F9"/>
            <w:tcMar>
              <w:top w:w="80" w:type="dxa"/>
              <w:start w:w="90" w:type="dxa"/>
              <w:bottom w:w="80" w:type="dxa"/>
              <w:end w:w="90" w:type="dxa"/>
            </w:tcMar>
            <w:vAlign w:val="center"/>
          </w:tcPr>
          <w:p>
            <w:pPr>
              <w:spacing w:after="0" w:line="240" w:lineRule="auto"/>
            </w:pPr>
            <w:r>
              <w:rPr>
                <w:color w:val="182633"/>
                <w:sz w:val="16"/>
              </w:rPr>
              <w:t xml:space="preserve">Dell, NetApp, IBM and other enterprise vendors</w:t>
            </w:r>
          </w:p>
        </w:tc>
        <w:tc>
          <w:tcPr>
            <w:tcW w:type="dxa" w:w="3400"/>
            <w:shd w:val="clear" w:color="auto" w:fill="F5F7F9"/>
            <w:tcMar>
              <w:top w:w="80" w:type="dxa"/>
              <w:start w:w="90" w:type="dxa"/>
              <w:bottom w:w="80" w:type="dxa"/>
              <w:end w:w="90" w:type="dxa"/>
            </w:tcMar>
            <w:vAlign w:val="center"/>
          </w:tcPr>
          <w:p>
            <w:pPr>
              <w:spacing w:after="0" w:line="240" w:lineRule="auto"/>
            </w:pPr>
            <w:r>
              <w:rPr>
                <w:color w:val="182633"/>
                <w:sz w:val="16"/>
              </w:rPr>
              <w:t xml:space="preserve">Small share; seven-digit enterprise deals growing [3][5]</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Backup appliances (DXi)</w:t>
            </w:r>
          </w:p>
        </w:tc>
        <w:tc>
          <w:tcPr>
            <w:tcW w:type="dxa" w:w="3936"/>
            <w:tcMar>
              <w:top w:w="80" w:type="dxa"/>
              <w:start w:w="90" w:type="dxa"/>
              <w:bottom w:w="80" w:type="dxa"/>
              <w:end w:w="90" w:type="dxa"/>
            </w:tcMar>
            <w:vAlign w:val="center"/>
          </w:tcPr>
          <w:p>
            <w:pPr>
              <w:spacing w:after="0" w:line="240" w:lineRule="auto"/>
            </w:pPr>
            <w:r>
              <w:rPr>
                <w:color w:val="182633"/>
                <w:sz w:val="16"/>
              </w:rPr>
              <w:t xml:space="preserve">Dell, HPE, Veritas</w:t>
            </w:r>
          </w:p>
        </w:tc>
        <w:tc>
          <w:tcPr>
            <w:tcW w:type="dxa" w:w="3400"/>
            <w:tcMar>
              <w:top w:w="80" w:type="dxa"/>
              <w:start w:w="90" w:type="dxa"/>
              <w:bottom w:w="80" w:type="dxa"/>
              <w:end w:w="90" w:type="dxa"/>
            </w:tcMar>
            <w:vAlign w:val="center"/>
          </w:tcPr>
          <w:p>
            <w:pPr>
              <w:spacing w:after="0" w:line="240" w:lineRule="auto"/>
            </w:pPr>
            <w:r>
              <w:rPr>
                <w:color w:val="182633"/>
                <w:sz w:val="16"/>
              </w:rPr>
              <w:t xml:space="preserve">Legacy line [3]</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File storage (StorNext, Myriad)</w:t>
            </w:r>
          </w:p>
        </w:tc>
        <w:tc>
          <w:tcPr>
            <w:tcW w:type="dxa" w:w="3936"/>
            <w:shd w:val="clear" w:color="auto" w:fill="F5F7F9"/>
            <w:tcMar>
              <w:top w:w="80" w:type="dxa"/>
              <w:start w:w="90" w:type="dxa"/>
              <w:bottom w:w="80" w:type="dxa"/>
              <w:end w:w="90" w:type="dxa"/>
            </w:tcMar>
            <w:vAlign w:val="center"/>
          </w:tcPr>
          <w:p>
            <w:pPr>
              <w:spacing w:after="0" w:line="240" w:lineRule="auto"/>
            </w:pPr>
            <w:r>
              <w:rPr>
                <w:color w:val="182633"/>
                <w:sz w:val="16"/>
              </w:rPr>
              <w:t xml:space="preserve">Dell, NetApp, IBM and others</w:t>
            </w:r>
          </w:p>
        </w:tc>
        <w:tc>
          <w:tcPr>
            <w:tcW w:type="dxa" w:w="3400"/>
            <w:shd w:val="clear" w:color="auto" w:fill="F5F7F9"/>
            <w:tcMar>
              <w:top w:w="80" w:type="dxa"/>
              <w:start w:w="90" w:type="dxa"/>
              <w:bottom w:w="80" w:type="dxa"/>
              <w:end w:w="90" w:type="dxa"/>
            </w:tcMar>
            <w:vAlign w:val="center"/>
          </w:tcPr>
          <w:p>
            <w:pPr>
              <w:spacing w:after="0" w:line="240" w:lineRule="auto"/>
            </w:pPr>
            <w:r>
              <w:rPr>
                <w:color w:val="182633"/>
                <w:sz w:val="16"/>
              </w:rPr>
              <w:t xml:space="preserve">Niche; strongest in media and entertainment [3]</w:t>
            </w:r>
          </w:p>
        </w:tc>
      </w:tr>
    </w:tbl>
    <w:p>
      <w:pPr>
        <w:spacing w:after="0"/>
      </w:pPr>
    </w:p>
    <w:p>
      <w:r>
        <w:rPr>
          <w:b/>
        </w:rPr>
        <w:t xml:space="preserve">Cloud substitution.</w:t>
      </w:r>
      <w:r>
        <w:t xml:space="preserve"> The 10-K calls disk backup and cloud storage indirect alternatives to tape [3]. AWS lists S3 Glacier Deep Archive at $0.00099 per GB-month (~$12 per TB-year) in US East, with a 180-day minimum and 12-48 hour retrieval [22]. The 10-K describes hyperscalers as the largest users of hierarchical storage architectures [3]. So a move to cloud archive can shift tape demand from many enterprises to a few hyperscale buyers. That raises buyer concentration and pricing pressure (author’s analysis).</w:t>
      </w:r>
    </w:p>
    <w:p>
      <w:r>
        <w:rPr>
          <w:b/>
        </w:rPr>
        <w:t xml:space="preserve">Customers.</w:t>
      </w:r>
      <w:r>
        <w:t xml:space="preserve"> The top five customers were 27% of FY2026 revenue, up from 21% in FY2025. One customer exceeded 10% and is not named [3]. One APAC hyperscaler deal in Q1 was “well over eight figures” [5]. Management does not break out bookings by product or customer type [5].</w:t>
      </w:r>
    </w:p>
    <w:p>
      <w:pPr>
        <w:pStyle w:val="Heading1"/>
      </w:pPr>
      <w:r>
        <w:t xml:space="preserve">5. Management, governance and controls</w:t>
      </w:r>
    </w:p>
    <w:p>
      <w:r>
        <w:rPr>
          <w:b/>
        </w:rPr>
        <w:t xml:space="preserve">Too many changes.</w:t>
      </w:r>
      <w:r>
        <w:t xml:space="preserve"> Since June 2025 Quantum has had eight senior leadership changes: a new CEO and Chair (Jun. 2025), three changes in the finance chief role (Aug. 2025, Feb. 2026, Oct. 2026), and a new chief accounting officer, CIO and COO (Sep. 2026). That is a lot of change in 16 months for a company of about 490 employees. New teams need time to show results [3][4][10][11][12][13][15].</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1500"/>
        <w:gridCol w:w="7336"/>
        <w:gridCol w:w="1100"/>
      </w:tblGrid>
      <w:tr>
        <w:trPr>
          <w:tblHeader/>
          <w:cantSplit/>
        </w:trPr>
        <w:tc>
          <w:tcPr>
            <w:tcW w:type="dxa" w:w="1500"/>
            <w:shd w:val="clear" w:color="auto" w:fill="12304A"/>
            <w:tcMar>
              <w:top w:w="80" w:type="dxa"/>
              <w:start w:w="90" w:type="dxa"/>
              <w:bottom w:w="80" w:type="dxa"/>
              <w:end w:w="90" w:type="dxa"/>
            </w:tcMar>
            <w:vAlign w:val="center"/>
          </w:tcPr>
          <w:p>
            <w:pPr>
              <w:spacing w:after="0" w:line="240" w:lineRule="auto"/>
            </w:pPr>
            <w:r>
              <w:rPr>
                <w:b/>
                <w:color w:val="FFFFFF"/>
                <w:sz w:val="16"/>
              </w:rPr>
              <w:t xml:space="preserve">Date</w:t>
            </w:r>
          </w:p>
        </w:tc>
        <w:tc>
          <w:tcPr>
            <w:tcW w:type="dxa" w:w="7336"/>
            <w:shd w:val="clear" w:color="auto" w:fill="12304A"/>
            <w:tcMar>
              <w:top w:w="80" w:type="dxa"/>
              <w:start w:w="90" w:type="dxa"/>
              <w:bottom w:w="80" w:type="dxa"/>
              <w:end w:w="90" w:type="dxa"/>
            </w:tcMar>
            <w:vAlign w:val="center"/>
          </w:tcPr>
          <w:p>
            <w:pPr>
              <w:spacing w:after="0" w:line="240" w:lineRule="auto"/>
            </w:pPr>
            <w:r>
              <w:rPr>
                <w:b/>
                <w:color w:val="FFFFFF"/>
                <w:sz w:val="16"/>
              </w:rPr>
              <w:t xml:space="preserve">Event</w:t>
            </w:r>
          </w:p>
        </w:tc>
        <w:tc>
          <w:tcPr>
            <w:tcW w:type="dxa" w:w="1100"/>
            <w:shd w:val="clear" w:color="auto" w:fill="12304A"/>
            <w:tcMar>
              <w:top w:w="80" w:type="dxa"/>
              <w:start w:w="90" w:type="dxa"/>
              <w:bottom w:w="80" w:type="dxa"/>
              <w:end w:w="90" w:type="dxa"/>
            </w:tcMar>
            <w:vAlign w:val="center"/>
          </w:tcPr>
          <w:p>
            <w:pPr>
              <w:spacing w:after="0" w:line="240" w:lineRule="auto"/>
            </w:pPr>
            <w:r>
              <w:rPr>
                <w:b/>
                <w:color w:val="FFFFFF"/>
                <w:sz w:val="16"/>
              </w:rPr>
              <w:t xml:space="preserve">Src.</w:t>
            </w:r>
          </w:p>
        </w:tc>
      </w:tr>
      <w:tr>
        <w:trPr>
          <w:cantSplit/>
        </w:trPr>
        <w:tc>
          <w:tcPr>
            <w:tcW w:type="dxa" w:w="1500"/>
            <w:tcMar>
              <w:top w:w="80" w:type="dxa"/>
              <w:start w:w="90" w:type="dxa"/>
              <w:bottom w:w="80" w:type="dxa"/>
              <w:end w:w="90" w:type="dxa"/>
            </w:tcMar>
            <w:vAlign w:val="center"/>
          </w:tcPr>
          <w:p>
            <w:pPr>
              <w:spacing w:after="0" w:line="240" w:lineRule="auto"/>
            </w:pPr>
            <w:r>
              <w:rPr>
                <w:b/>
                <w:color w:val="12304A"/>
                <w:sz w:val="16"/>
              </w:rPr>
              <w:t xml:space="preserve">Jan. 2025</w:t>
            </w:r>
          </w:p>
        </w:tc>
        <w:tc>
          <w:tcPr>
            <w:tcW w:type="dxa" w:w="7336"/>
            <w:tcMar>
              <w:top w:w="80" w:type="dxa"/>
              <w:start w:w="90" w:type="dxa"/>
              <w:bottom w:w="80" w:type="dxa"/>
              <w:end w:w="90" w:type="dxa"/>
            </w:tcMar>
            <w:vAlign w:val="center"/>
          </w:tcPr>
          <w:p>
            <w:pPr>
              <w:spacing w:after="0" w:line="240" w:lineRule="auto"/>
            </w:pPr>
            <w:r>
              <w:rPr>
                <w:color w:val="182633"/>
                <w:sz w:val="16"/>
              </w:rPr>
              <w:t xml:space="preserve">Equity line (SEPA) signed: up to $200M of stock over three years</w:t>
            </w:r>
          </w:p>
        </w:tc>
        <w:tc>
          <w:tcPr>
            <w:tcW w:type="dxa" w:w="1100"/>
            <w:tcMar>
              <w:top w:w="80" w:type="dxa"/>
              <w:start w:w="90" w:type="dxa"/>
              <w:bottom w:w="80" w:type="dxa"/>
              <w:end w:w="90" w:type="dxa"/>
            </w:tcMar>
            <w:vAlign w:val="center"/>
          </w:tcPr>
          <w:p>
            <w:pPr>
              <w:spacing w:after="0" w:line="240" w:lineRule="auto"/>
            </w:pPr>
            <w:r>
              <w:rPr>
                <w:color w:val="182633"/>
                <w:sz w:val="16"/>
              </w:rPr>
              <w:t xml:space="preserve">[33]</w:t>
            </w:r>
          </w:p>
        </w:tc>
      </w:tr>
      <w:tr>
        <w:trPr>
          <w:cantSplit/>
        </w:trPr>
        <w:tc>
          <w:tcPr>
            <w:tcW w:type="dxa" w:w="1500"/>
            <w:shd w:val="clear" w:color="auto" w:fill="F5F7F9"/>
            <w:tcMar>
              <w:top w:w="80" w:type="dxa"/>
              <w:start w:w="90" w:type="dxa"/>
              <w:bottom w:w="80" w:type="dxa"/>
              <w:end w:w="90" w:type="dxa"/>
            </w:tcMar>
            <w:vAlign w:val="center"/>
          </w:tcPr>
          <w:p>
            <w:pPr>
              <w:spacing w:after="0" w:line="240" w:lineRule="auto"/>
            </w:pPr>
            <w:r>
              <w:rPr>
                <w:b/>
                <w:color w:val="12304A"/>
                <w:sz w:val="16"/>
              </w:rPr>
              <w:t xml:space="preserve">Apr. 2025</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Dialectic buys Blue Torch’s $51M of term debt; John Fichthorn rejoins the board</w:t>
            </w:r>
          </w:p>
        </w:tc>
        <w:tc>
          <w:tcPr>
            <w:tcW w:type="dxa" w:w="1100"/>
            <w:shd w:val="clear" w:color="auto" w:fill="F5F7F9"/>
            <w:tcMar>
              <w:top w:w="80" w:type="dxa"/>
              <w:start w:w="90" w:type="dxa"/>
              <w:bottom w:w="80" w:type="dxa"/>
              <w:end w:w="90" w:type="dxa"/>
            </w:tcMar>
            <w:vAlign w:val="center"/>
          </w:tcPr>
          <w:p>
            <w:pPr>
              <w:spacing w:after="0" w:line="240" w:lineRule="auto"/>
            </w:pPr>
            <w:r>
              <w:rPr>
                <w:color w:val="182633"/>
                <w:sz w:val="16"/>
              </w:rPr>
              <w:t xml:space="preserve">[17]</w:t>
            </w:r>
          </w:p>
        </w:tc>
      </w:tr>
      <w:tr>
        <w:trPr>
          <w:cantSplit/>
        </w:trPr>
        <w:tc>
          <w:tcPr>
            <w:tcW w:type="dxa" w:w="1500"/>
            <w:tcMar>
              <w:top w:w="80" w:type="dxa"/>
              <w:start w:w="90" w:type="dxa"/>
              <w:bottom w:w="80" w:type="dxa"/>
              <w:end w:w="90" w:type="dxa"/>
            </w:tcMar>
            <w:vAlign w:val="center"/>
          </w:tcPr>
          <w:p>
            <w:pPr>
              <w:spacing w:after="0" w:line="240" w:lineRule="auto"/>
            </w:pPr>
            <w:r>
              <w:rPr>
                <w:b/>
                <w:color w:val="12304A"/>
                <w:sz w:val="16"/>
              </w:rPr>
              <w:t xml:space="preserve">Jun. 2, 2025</w:t>
            </w:r>
          </w:p>
        </w:tc>
        <w:tc>
          <w:tcPr>
            <w:tcW w:type="dxa" w:w="7336"/>
            <w:tcMar>
              <w:top w:w="80" w:type="dxa"/>
              <w:start w:w="90" w:type="dxa"/>
              <w:bottom w:w="80" w:type="dxa"/>
              <w:end w:w="90" w:type="dxa"/>
            </w:tcMar>
            <w:vAlign w:val="center"/>
          </w:tcPr>
          <w:p>
            <w:pPr>
              <w:spacing w:after="0" w:line="240" w:lineRule="auto"/>
            </w:pPr>
            <w:r>
              <w:rPr>
                <w:color w:val="182633"/>
                <w:sz w:val="16"/>
              </w:rPr>
              <w:t xml:space="preserve">Hugues Meyrath (director since 2022) succeeds CEO Jamie Lerner. Donald J. Jaworski becomes Chair</w:t>
            </w:r>
          </w:p>
        </w:tc>
        <w:tc>
          <w:tcPr>
            <w:tcW w:type="dxa" w:w="1100"/>
            <w:tcMar>
              <w:top w:w="80" w:type="dxa"/>
              <w:start w:w="90" w:type="dxa"/>
              <w:bottom w:w="80" w:type="dxa"/>
              <w:end w:w="90" w:type="dxa"/>
            </w:tcMar>
            <w:vAlign w:val="center"/>
          </w:tcPr>
          <w:p>
            <w:pPr>
              <w:spacing w:after="0" w:line="240" w:lineRule="auto"/>
            </w:pPr>
            <w:r>
              <w:rPr>
                <w:color w:val="182633"/>
                <w:sz w:val="16"/>
              </w:rPr>
              <w:t xml:space="preserve">[15][16]</w:t>
            </w:r>
          </w:p>
        </w:tc>
      </w:tr>
      <w:tr>
        <w:trPr>
          <w:cantSplit/>
        </w:trPr>
        <w:tc>
          <w:tcPr>
            <w:tcW w:type="dxa" w:w="1500"/>
            <w:shd w:val="clear" w:color="auto" w:fill="F5F7F9"/>
            <w:tcMar>
              <w:top w:w="80" w:type="dxa"/>
              <w:start w:w="90" w:type="dxa"/>
              <w:bottom w:w="80" w:type="dxa"/>
              <w:end w:w="90" w:type="dxa"/>
            </w:tcMar>
            <w:vAlign w:val="center"/>
          </w:tcPr>
          <w:p>
            <w:pPr>
              <w:spacing w:after="0" w:line="240" w:lineRule="auto"/>
            </w:pPr>
            <w:r>
              <w:rPr>
                <w:b/>
                <w:color w:val="12304A"/>
                <w:sz w:val="16"/>
              </w:rPr>
              <w:t xml:space="preserve">Aug. 2025</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Non-reliance on Q3 FY2025 statements (Aug. 8; revenue -$3.9M). PNC credit line terminated (Aug. 13). CFO Lewis W. Moorehead resigns (last day Aug. 18); CAO Laura A. Nash also named PFO</w:t>
            </w:r>
          </w:p>
        </w:tc>
        <w:tc>
          <w:tcPr>
            <w:tcW w:type="dxa" w:w="1100"/>
            <w:shd w:val="clear" w:color="auto" w:fill="F5F7F9"/>
            <w:tcMar>
              <w:top w:w="80" w:type="dxa"/>
              <w:start w:w="90" w:type="dxa"/>
              <w:bottom w:w="80" w:type="dxa"/>
              <w:end w:w="90" w:type="dxa"/>
            </w:tcMar>
            <w:vAlign w:val="center"/>
          </w:tcPr>
          <w:p>
            <w:pPr>
              <w:spacing w:after="0" w:line="240" w:lineRule="auto"/>
            </w:pPr>
            <w:r>
              <w:rPr>
                <w:color w:val="182633"/>
                <w:sz w:val="16"/>
              </w:rPr>
              <w:t xml:space="preserve">[2][13][14]</w:t>
            </w:r>
          </w:p>
        </w:tc>
      </w:tr>
      <w:tr>
        <w:trPr>
          <w:cantSplit/>
        </w:trPr>
        <w:tc>
          <w:tcPr>
            <w:tcW w:type="dxa" w:w="1500"/>
            <w:tcMar>
              <w:top w:w="80" w:type="dxa"/>
              <w:start w:w="90" w:type="dxa"/>
              <w:bottom w:w="80" w:type="dxa"/>
              <w:end w:w="90" w:type="dxa"/>
            </w:tcMar>
            <w:vAlign w:val="center"/>
          </w:tcPr>
          <w:p>
            <w:pPr>
              <w:spacing w:after="0" w:line="240" w:lineRule="auto"/>
            </w:pPr>
            <w:r>
              <w:rPr>
                <w:b/>
                <w:color w:val="12304A"/>
                <w:sz w:val="16"/>
              </w:rPr>
              <w:t xml:space="preserve">Sep. 29, 2025</w:t>
            </w:r>
          </w:p>
        </w:tc>
        <w:tc>
          <w:tcPr>
            <w:tcW w:type="dxa" w:w="7336"/>
            <w:tcMar>
              <w:top w:w="80" w:type="dxa"/>
              <w:start w:w="90" w:type="dxa"/>
              <w:bottom w:w="80" w:type="dxa"/>
              <w:end w:w="90" w:type="dxa"/>
            </w:tcMar>
            <w:vAlign w:val="center"/>
          </w:tcPr>
          <w:p>
            <w:pPr>
              <w:spacing w:after="0" w:line="240" w:lineRule="auto"/>
            </w:pPr>
            <w:r>
              <w:rPr>
                <w:color w:val="182633"/>
                <w:sz w:val="16"/>
              </w:rPr>
              <w:t xml:space="preserve">Debt restructuring agreed: ~$52M of Dialectic’s term debt to be exchanged into convertible notes; Dialectic receives a warrant for 2,653,308 shares</w:t>
            </w:r>
          </w:p>
        </w:tc>
        <w:tc>
          <w:tcPr>
            <w:tcW w:type="dxa" w:w="1100"/>
            <w:tcMar>
              <w:top w:w="80" w:type="dxa"/>
              <w:start w:w="90" w:type="dxa"/>
              <w:bottom w:w="80" w:type="dxa"/>
              <w:end w:w="90" w:type="dxa"/>
            </w:tcMar>
            <w:vAlign w:val="center"/>
          </w:tcPr>
          <w:p>
            <w:pPr>
              <w:spacing w:after="0" w:line="240" w:lineRule="auto"/>
            </w:pPr>
            <w:r>
              <w:rPr>
                <w:color w:val="182633"/>
                <w:sz w:val="16"/>
              </w:rPr>
              <w:t xml:space="preserve">[36]</w:t>
            </w:r>
          </w:p>
        </w:tc>
      </w:tr>
      <w:tr>
        <w:trPr>
          <w:cantSplit/>
        </w:trPr>
        <w:tc>
          <w:tcPr>
            <w:tcW w:type="dxa" w:w="1500"/>
            <w:shd w:val="clear" w:color="auto" w:fill="F5F7F9"/>
            <w:tcMar>
              <w:top w:w="80" w:type="dxa"/>
              <w:start w:w="90" w:type="dxa"/>
              <w:bottom w:w="80" w:type="dxa"/>
              <w:end w:w="90" w:type="dxa"/>
            </w:tcMar>
            <w:vAlign w:val="center"/>
          </w:tcPr>
          <w:p>
            <w:pPr>
              <w:spacing w:after="0" w:line="240" w:lineRule="auto"/>
            </w:pPr>
            <w:r>
              <w:rPr>
                <w:b/>
                <w:color w:val="12304A"/>
                <w:sz w:val="16"/>
              </w:rPr>
              <w:t xml:space="preserve">Dec. 18, 2025</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Convertible note issued to Dialectic; $10.00 initial conversion price with quarterly resets</w:t>
            </w:r>
          </w:p>
        </w:tc>
        <w:tc>
          <w:tcPr>
            <w:tcW w:type="dxa" w:w="1100"/>
            <w:shd w:val="clear" w:color="auto" w:fill="F5F7F9"/>
            <w:tcMar>
              <w:top w:w="80" w:type="dxa"/>
              <w:start w:w="90" w:type="dxa"/>
              <w:bottom w:w="80" w:type="dxa"/>
              <w:end w:w="90" w:type="dxa"/>
            </w:tcMar>
            <w:vAlign w:val="center"/>
          </w:tcPr>
          <w:p>
            <w:pPr>
              <w:spacing w:after="0" w:line="240" w:lineRule="auto"/>
            </w:pPr>
            <w:r>
              <w:rPr>
                <w:color w:val="182633"/>
                <w:sz w:val="16"/>
              </w:rPr>
              <w:t xml:space="preserve">[2][8]</w:t>
            </w:r>
          </w:p>
        </w:tc>
      </w:tr>
      <w:tr>
        <w:trPr>
          <w:cantSplit/>
        </w:trPr>
        <w:tc>
          <w:tcPr>
            <w:tcW w:type="dxa" w:w="1500"/>
            <w:tcMar>
              <w:top w:w="80" w:type="dxa"/>
              <w:start w:w="90" w:type="dxa"/>
              <w:bottom w:w="80" w:type="dxa"/>
              <w:end w:w="90" w:type="dxa"/>
            </w:tcMar>
            <w:vAlign w:val="center"/>
          </w:tcPr>
          <w:p>
            <w:pPr>
              <w:spacing w:after="0" w:line="240" w:lineRule="auto"/>
            </w:pPr>
            <w:r>
              <w:rPr>
                <w:b/>
                <w:color w:val="12304A"/>
                <w:sz w:val="16"/>
              </w:rPr>
              <w:t xml:space="preserve">Feb. 2, 2026</w:t>
            </w:r>
          </w:p>
        </w:tc>
        <w:tc>
          <w:tcPr>
            <w:tcW w:type="dxa" w:w="7336"/>
            <w:tcMar>
              <w:top w:w="80" w:type="dxa"/>
              <w:start w:w="90" w:type="dxa"/>
              <w:bottom w:w="80" w:type="dxa"/>
              <w:end w:w="90" w:type="dxa"/>
            </w:tcMar>
            <w:vAlign w:val="center"/>
          </w:tcPr>
          <w:p>
            <w:pPr>
              <w:spacing w:after="0" w:line="240" w:lineRule="auto"/>
            </w:pPr>
            <w:r>
              <w:rPr>
                <w:color w:val="182633"/>
                <w:sz w:val="16"/>
              </w:rPr>
              <w:t xml:space="preserve">William H. White appointed CFO</w:t>
            </w:r>
          </w:p>
        </w:tc>
        <w:tc>
          <w:tcPr>
            <w:tcW w:type="dxa" w:w="1100"/>
            <w:tcMar>
              <w:top w:w="80" w:type="dxa"/>
              <w:start w:w="90" w:type="dxa"/>
              <w:bottom w:w="80" w:type="dxa"/>
              <w:end w:w="90" w:type="dxa"/>
            </w:tcMar>
            <w:vAlign w:val="center"/>
          </w:tcPr>
          <w:p>
            <w:pPr>
              <w:spacing w:after="0" w:line="240" w:lineRule="auto"/>
            </w:pPr>
            <w:r>
              <w:rPr>
                <w:color w:val="182633"/>
                <w:sz w:val="16"/>
              </w:rPr>
              <w:t xml:space="preserve">[12]</w:t>
            </w:r>
          </w:p>
        </w:tc>
      </w:tr>
      <w:tr>
        <w:trPr>
          <w:cantSplit/>
        </w:trPr>
        <w:tc>
          <w:tcPr>
            <w:tcW w:type="dxa" w:w="1500"/>
            <w:shd w:val="clear" w:color="auto" w:fill="F5F7F9"/>
            <w:tcMar>
              <w:top w:w="80" w:type="dxa"/>
              <w:start w:w="90" w:type="dxa"/>
              <w:bottom w:w="80" w:type="dxa"/>
              <w:end w:w="90" w:type="dxa"/>
            </w:tcMar>
            <w:vAlign w:val="center"/>
          </w:tcPr>
          <w:p>
            <w:pPr>
              <w:spacing w:after="0" w:line="240" w:lineRule="auto"/>
            </w:pPr>
            <w:r>
              <w:rPr>
                <w:b/>
                <w:color w:val="12304A"/>
                <w:sz w:val="16"/>
              </w:rPr>
              <w:t xml:space="preserve">Jun. 1-4, 2026</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PIPE at $9.42; note converted at $5.194 (after contract resets); term debt repaid</w:t>
            </w:r>
          </w:p>
        </w:tc>
        <w:tc>
          <w:tcPr>
            <w:tcW w:type="dxa" w:w="1100"/>
            <w:shd w:val="clear" w:color="auto" w:fill="F5F7F9"/>
            <w:tcMar>
              <w:top w:w="80" w:type="dxa"/>
              <w:start w:w="90" w:type="dxa"/>
              <w:bottom w:w="80" w:type="dxa"/>
              <w:end w:w="90" w:type="dxa"/>
            </w:tcMar>
            <w:vAlign w:val="center"/>
          </w:tcPr>
          <w:p>
            <w:pPr>
              <w:spacing w:after="0" w:line="240" w:lineRule="auto"/>
            </w:pPr>
            <w:r>
              <w:rPr>
                <w:color w:val="182633"/>
                <w:sz w:val="16"/>
              </w:rPr>
              <w:t xml:space="preserve">[2][8]</w:t>
            </w:r>
          </w:p>
        </w:tc>
      </w:tr>
      <w:tr>
        <w:trPr>
          <w:cantSplit/>
        </w:trPr>
        <w:tc>
          <w:tcPr>
            <w:tcW w:type="dxa" w:w="1500"/>
            <w:tcMar>
              <w:top w:w="80" w:type="dxa"/>
              <w:start w:w="90" w:type="dxa"/>
              <w:bottom w:w="80" w:type="dxa"/>
              <w:end w:w="90" w:type="dxa"/>
            </w:tcMar>
            <w:vAlign w:val="center"/>
          </w:tcPr>
          <w:p>
            <w:pPr>
              <w:spacing w:after="0" w:line="240" w:lineRule="auto"/>
            </w:pPr>
            <w:r>
              <w:rPr>
                <w:b/>
                <w:color w:val="12304A"/>
                <w:sz w:val="16"/>
              </w:rPr>
              <w:t xml:space="preserve">Sep. 2026</w:t>
            </w:r>
          </w:p>
        </w:tc>
        <w:tc>
          <w:tcPr>
            <w:tcW w:type="dxa" w:w="7336"/>
            <w:tcMar>
              <w:top w:w="80" w:type="dxa"/>
              <w:start w:w="90" w:type="dxa"/>
              <w:bottom w:w="80" w:type="dxa"/>
              <w:end w:w="90" w:type="dxa"/>
            </w:tcMar>
            <w:vAlign w:val="center"/>
          </w:tcPr>
          <w:p>
            <w:pPr>
              <w:spacing w:after="0" w:line="240" w:lineRule="auto"/>
            </w:pPr>
            <w:r>
              <w:rPr>
                <w:color w:val="182633"/>
                <w:sz w:val="16"/>
              </w:rPr>
              <w:t xml:space="preserve">Hiral A. Patel named CAO (Sep. 1); ADM product launched (Sep. 8); Mike Heuer CIO (Sep. 14); director James C. Clancy becomes COO and leaves the board and Audit Committee (Sep. 28)</w:t>
            </w:r>
          </w:p>
        </w:tc>
        <w:tc>
          <w:tcPr>
            <w:tcW w:type="dxa" w:w="1100"/>
            <w:tcMar>
              <w:top w:w="80" w:type="dxa"/>
              <w:start w:w="90" w:type="dxa"/>
              <w:bottom w:w="80" w:type="dxa"/>
              <w:end w:w="90" w:type="dxa"/>
            </w:tcMar>
            <w:vAlign w:val="center"/>
          </w:tcPr>
          <w:p>
            <w:pPr>
              <w:spacing w:after="0" w:line="240" w:lineRule="auto"/>
            </w:pPr>
            <w:r>
              <w:rPr>
                <w:color w:val="182633"/>
                <w:sz w:val="16"/>
              </w:rPr>
              <w:t xml:space="preserve">[4][10][11][37]</w:t>
            </w:r>
          </w:p>
        </w:tc>
      </w:tr>
      <w:tr>
        <w:trPr>
          <w:cantSplit/>
        </w:trPr>
        <w:tc>
          <w:tcPr>
            <w:tcW w:type="dxa" w:w="1500"/>
            <w:shd w:val="clear" w:color="auto" w:fill="F5F7F9"/>
            <w:tcMar>
              <w:top w:w="80" w:type="dxa"/>
              <w:start w:w="90" w:type="dxa"/>
              <w:bottom w:w="80" w:type="dxa"/>
              <w:end w:w="90" w:type="dxa"/>
            </w:tcMar>
            <w:vAlign w:val="center"/>
          </w:tcPr>
          <w:p>
            <w:pPr>
              <w:spacing w:after="0" w:line="240" w:lineRule="auto"/>
            </w:pPr>
            <w:r>
              <w:rPr>
                <w:b/>
                <w:color w:val="12304A"/>
                <w:sz w:val="16"/>
              </w:rPr>
              <w:t xml:space="preserve">Oct. 9, 2026</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White terminated, no reason given; Patel becomes PFO. Audit Committee membership changed. 10-Q expected on time; Q2 expected to meet or exceed guidance</w:t>
            </w:r>
          </w:p>
        </w:tc>
        <w:tc>
          <w:tcPr>
            <w:tcW w:type="dxa" w:w="1100"/>
            <w:shd w:val="clear" w:color="auto" w:fill="F5F7F9"/>
            <w:tcMar>
              <w:top w:w="80" w:type="dxa"/>
              <w:start w:w="90" w:type="dxa"/>
              <w:bottom w:w="80" w:type="dxa"/>
              <w:end w:w="90" w:type="dxa"/>
            </w:tcMar>
            <w:vAlign w:val="center"/>
          </w:tcPr>
          <w:p>
            <w:pPr>
              <w:spacing w:after="0" w:line="240" w:lineRule="auto"/>
            </w:pPr>
            <w:r>
              <w:rPr>
                <w:color w:val="182633"/>
                <w:sz w:val="16"/>
              </w:rPr>
              <w:t xml:space="preserve">[4]</w:t>
            </w:r>
          </w:p>
        </w:tc>
      </w:tr>
    </w:tbl>
    <w:p>
      <w:pPr>
        <w:spacing w:after="0"/>
      </w:pP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600"/>
        <w:gridCol w:w="7336"/>
      </w:tblGrid>
      <w:tr>
        <w:trPr>
          <w:tblHeader/>
          <w:cantSplit/>
        </w:trPr>
        <w:tc>
          <w:tcPr>
            <w:tcW w:type="dxa" w:w="2600"/>
            <w:shd w:val="clear" w:color="auto" w:fill="12304A"/>
            <w:tcMar>
              <w:top w:w="80" w:type="dxa"/>
              <w:start w:w="90" w:type="dxa"/>
              <w:bottom w:w="80" w:type="dxa"/>
              <w:end w:w="90" w:type="dxa"/>
            </w:tcMar>
            <w:vAlign w:val="center"/>
          </w:tcPr>
          <w:p>
            <w:pPr>
              <w:spacing w:after="0" w:line="240" w:lineRule="auto"/>
            </w:pPr>
            <w:r>
              <w:rPr>
                <w:b/>
                <w:color w:val="FFFFFF"/>
                <w:sz w:val="16"/>
              </w:rPr>
              <w:t xml:space="preserve">Person / role</w:t>
            </w:r>
          </w:p>
        </w:tc>
        <w:tc>
          <w:tcPr>
            <w:tcW w:type="dxa" w:w="7336"/>
            <w:shd w:val="clear" w:color="auto" w:fill="12304A"/>
            <w:tcMar>
              <w:top w:w="80" w:type="dxa"/>
              <w:start w:w="90" w:type="dxa"/>
              <w:bottom w:w="80" w:type="dxa"/>
              <w:end w:w="90" w:type="dxa"/>
            </w:tcMar>
            <w:vAlign w:val="center"/>
          </w:tcPr>
          <w:p>
            <w:pPr>
              <w:spacing w:after="0" w:line="240" w:lineRule="auto"/>
            </w:pPr>
            <w:r>
              <w:rPr>
                <w:b/>
                <w:color w:val="FFFFFF"/>
                <w:sz w:val="16"/>
              </w:rPr>
              <w:t xml:space="preserve">Background (as disclosed)</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Hugues Meyrath, CEO</w:t>
            </w:r>
          </w:p>
        </w:tc>
        <w:tc>
          <w:tcPr>
            <w:tcW w:type="dxa" w:w="7336"/>
            <w:tcMar>
              <w:top w:w="80" w:type="dxa"/>
              <w:start w:w="90" w:type="dxa"/>
              <w:bottom w:w="80" w:type="dxa"/>
              <w:end w:w="90" w:type="dxa"/>
            </w:tcMar>
            <w:vAlign w:val="center"/>
          </w:tcPr>
          <w:p>
            <w:pPr>
              <w:spacing w:after="0" w:line="240" w:lineRule="auto"/>
            </w:pPr>
            <w:r>
              <w:rPr>
                <w:color w:val="182633"/>
                <w:sz w:val="16"/>
              </w:rPr>
              <w:t xml:space="preserve">Western Digital (1994-99); Quantum business development (2002-03); Brocade (2003-09); Juniper (2009-12); EMC/Dell (2012-17); ServiceChannel CPO (2017-22, sold to Fortive). Quantum director from Sep. 2022 [16]</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James C. Clancy, COO</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Dell President of Global Storage Sales; Dell EMC SVP Global Sales, Data Protection; Quantum director ~1 year [10]</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Hiral A. Patel (38), CAO and PFO</w:t>
            </w:r>
          </w:p>
        </w:tc>
        <w:tc>
          <w:tcPr>
            <w:tcW w:type="dxa" w:w="7336"/>
            <w:tcMar>
              <w:top w:w="80" w:type="dxa"/>
              <w:start w:w="90" w:type="dxa"/>
              <w:bottom w:w="80" w:type="dxa"/>
              <w:end w:w="90" w:type="dxa"/>
            </w:tcMar>
            <w:vAlign w:val="center"/>
          </w:tcPr>
          <w:p>
            <w:pPr>
              <w:spacing w:after="0" w:line="240" w:lineRule="auto"/>
            </w:pPr>
            <w:r>
              <w:rPr>
                <w:color w:val="182633"/>
                <w:sz w:val="16"/>
              </w:rPr>
              <w:t xml:space="preserve">CPA. EY 2011-20; VeriFone 2020-24; IKEA Retail VP Controller 2024-25; Pep Boys CAO Oct. 2025-Jun. 2026. About five weeks at Quantum when named PFO [4]</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Mike Heuer, CIO</w:t>
            </w:r>
          </w:p>
        </w:tc>
        <w:tc>
          <w:tcPr>
            <w:tcW w:type="dxa" w:w="7336"/>
            <w:shd w:val="clear" w:color="auto" w:fill="F5F7F9"/>
            <w:tcMar>
              <w:top w:w="80" w:type="dxa"/>
              <w:start w:w="90" w:type="dxa"/>
              <w:bottom w:w="80" w:type="dxa"/>
              <w:end w:w="90" w:type="dxa"/>
            </w:tcMar>
            <w:vAlign w:val="center"/>
          </w:tcPr>
          <w:p>
            <w:pPr>
              <w:spacing w:after="0" w:line="240" w:lineRule="auto"/>
            </w:pPr>
            <w:r>
              <w:rPr>
                <w:color w:val="182633"/>
                <w:sz w:val="16"/>
              </w:rPr>
              <w:t xml:space="preserve">CIO at Legence (Blackstone portfolio); head of global IT at Blackhawk Network (ERP and CRM rollouts) [11]</w:t>
            </w:r>
          </w:p>
        </w:tc>
      </w:tr>
    </w:tbl>
    <w:p>
      <w:pPr>
        <w:spacing w:after="0"/>
      </w:pPr>
    </w:p>
    <w:p>
      <w:r>
        <w:rPr>
          <w:b/>
        </w:rPr>
        <w:t xml:space="preserve">Controls and litigation.</w:t>
      </w:r>
      <w:r>
        <w:t xml:space="preserve"> Internal control over financial reporting was not effective at March 31, 2025, March 31, 2026 and June 30, 2026 [2][3]. In plain terms, the company’s own checks on its numbers have weaknesses serious enough that errors could slip through. The August 2025 restatement involved service and subscription revenue timing and standalone selling prices [14]. A securities class action (Lee v. Quantum, D. Colo.; filed Sep. 4, 2025; class period Nov. 15, 2024 - Aug. 18, 2025) is pending. The motion to dismiss was undecided at June 30. Derivative suits are stayed [2]. Allegations are not findings.</w:t>
      </w:r>
    </w:p>
    <w:p>
      <w:r>
        <w:rPr>
          <w:b/>
        </w:rPr>
        <w:t xml:space="preserve">Insiders.</w:t>
      </w:r>
      <w:r>
        <w:t xml:space="preserve"> The only insider trade found in 2026 was a sale of 260 shares at $10.51 on July 2 by Laura A. Nash, then CAO. No insider purchases in the past 12 months [28].</w:t>
      </w:r>
    </w:p>
    <w:p>
      <w:pPr>
        <w:pStyle w:val="Heading1"/>
      </w:pPr>
      <w:r>
        <w:t xml:space="preserve">6. Risks</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600"/>
        <w:gridCol w:w="4836"/>
        <w:gridCol w:w="2500"/>
      </w:tblGrid>
      <w:tr>
        <w:trPr>
          <w:tblHeader/>
          <w:cantSplit/>
        </w:trPr>
        <w:tc>
          <w:tcPr>
            <w:tcW w:type="dxa" w:w="2600"/>
            <w:shd w:val="clear" w:color="auto" w:fill="12304A"/>
            <w:tcMar>
              <w:top w:w="80" w:type="dxa"/>
              <w:start w:w="90" w:type="dxa"/>
              <w:bottom w:w="80" w:type="dxa"/>
              <w:end w:w="90" w:type="dxa"/>
            </w:tcMar>
            <w:vAlign w:val="center"/>
          </w:tcPr>
          <w:p>
            <w:pPr>
              <w:spacing w:after="0" w:line="240" w:lineRule="auto"/>
            </w:pPr>
            <w:r>
              <w:rPr>
                <w:b/>
                <w:color w:val="FFFFFF"/>
                <w:sz w:val="16"/>
              </w:rPr>
              <w:t xml:space="preserve">Downside risk</w:t>
            </w:r>
          </w:p>
        </w:tc>
        <w:tc>
          <w:tcPr>
            <w:tcW w:type="dxa" w:w="4836"/>
            <w:shd w:val="clear" w:color="auto" w:fill="12304A"/>
            <w:tcMar>
              <w:top w:w="80" w:type="dxa"/>
              <w:start w:w="90" w:type="dxa"/>
              <w:bottom w:w="80" w:type="dxa"/>
              <w:end w:w="90" w:type="dxa"/>
            </w:tcMar>
            <w:vAlign w:val="center"/>
          </w:tcPr>
          <w:p>
            <w:pPr>
              <w:spacing w:after="0" w:line="240" w:lineRule="auto"/>
            </w:pPr>
            <w:r>
              <w:rPr>
                <w:b/>
                <w:color w:val="FFFFFF"/>
                <w:sz w:val="16"/>
              </w:rPr>
              <w:t xml:space="preserve">Evidence</w:t>
            </w:r>
          </w:p>
        </w:tc>
        <w:tc>
          <w:tcPr>
            <w:tcW w:type="dxa" w:w="2500"/>
            <w:shd w:val="clear" w:color="auto" w:fill="12304A"/>
            <w:tcMar>
              <w:top w:w="80" w:type="dxa"/>
              <w:start w:w="90" w:type="dxa"/>
              <w:bottom w:w="80" w:type="dxa"/>
              <w:end w:w="90" w:type="dxa"/>
            </w:tcMar>
            <w:vAlign w:val="center"/>
          </w:tcPr>
          <w:p>
            <w:pPr>
              <w:spacing w:after="0" w:line="240" w:lineRule="auto"/>
            </w:pPr>
            <w:r>
              <w:rPr>
                <w:b/>
                <w:color w:val="FFFFFF"/>
                <w:sz w:val="16"/>
              </w:rPr>
              <w:t xml:space="preserve">What it would hit</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Drive supply stays tight</w:t>
            </w:r>
          </w:p>
        </w:tc>
        <w:tc>
          <w:tcPr>
            <w:tcW w:type="dxa" w:w="4836"/>
            <w:tcMar>
              <w:top w:w="80" w:type="dxa"/>
              <w:start w:w="90" w:type="dxa"/>
              <w:bottom w:w="80" w:type="dxa"/>
              <w:end w:w="90" w:type="dxa"/>
            </w:tcMar>
            <w:vAlign w:val="center"/>
          </w:tcPr>
          <w:p>
            <w:pPr>
              <w:spacing w:after="0" w:line="240" w:lineRule="auto"/>
            </w:pPr>
            <w:r>
              <w:rPr>
                <w:color w:val="182633"/>
                <w:sz w:val="16"/>
              </w:rPr>
              <w:t xml:space="preserve">Supply flat for months as of August [5]</w:t>
            </w:r>
          </w:p>
        </w:tc>
        <w:tc>
          <w:tcPr>
            <w:tcW w:type="dxa" w:w="2500"/>
            <w:tcMar>
              <w:top w:w="80" w:type="dxa"/>
              <w:start w:w="90" w:type="dxa"/>
              <w:bottom w:w="80" w:type="dxa"/>
              <w:end w:w="90" w:type="dxa"/>
            </w:tcMar>
            <w:vAlign w:val="center"/>
          </w:tcPr>
          <w:p>
            <w:pPr>
              <w:spacing w:after="0" w:line="240" w:lineRule="auto"/>
            </w:pPr>
            <w:r>
              <w:rPr>
                <w:color w:val="182633"/>
                <w:sz w:val="16"/>
              </w:rPr>
              <w:t xml:space="preserve">Revenue and growth path</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Much larger competitors</w:t>
            </w:r>
          </w:p>
        </w:tc>
        <w:tc>
          <w:tcPr>
            <w:tcW w:type="dxa" w:w="4836"/>
            <w:shd w:val="clear" w:color="auto" w:fill="F5F7F9"/>
            <w:tcMar>
              <w:top w:w="80" w:type="dxa"/>
              <w:start w:w="90" w:type="dxa"/>
              <w:bottom w:w="80" w:type="dxa"/>
              <w:end w:w="90" w:type="dxa"/>
            </w:tcMar>
            <w:vAlign w:val="center"/>
          </w:tcPr>
          <w:p>
            <w:pPr>
              <w:spacing w:after="0" w:line="240" w:lineRule="auto"/>
            </w:pPr>
            <w:r>
              <w:rPr>
                <w:color w:val="182633"/>
                <w:sz w:val="16"/>
              </w:rPr>
              <w:t xml:space="preserve">Dell, HPE, IBM and NetApp have 25-511x Quantum’s revenue; IBM also supplies drives [3][5][35]</w:t>
            </w:r>
          </w:p>
        </w:tc>
        <w:tc>
          <w:tcPr>
            <w:tcW w:type="dxa" w:w="2500"/>
            <w:shd w:val="clear" w:color="auto" w:fill="F5F7F9"/>
            <w:tcMar>
              <w:top w:w="80" w:type="dxa"/>
              <w:start w:w="90" w:type="dxa"/>
              <w:bottom w:w="80" w:type="dxa"/>
              <w:end w:w="90" w:type="dxa"/>
            </w:tcMar>
            <w:vAlign w:val="center"/>
          </w:tcPr>
          <w:p>
            <w:pPr>
              <w:spacing w:after="0" w:line="240" w:lineRule="auto"/>
            </w:pPr>
            <w:r>
              <w:rPr>
                <w:color w:val="182633"/>
                <w:sz w:val="16"/>
              </w:rPr>
              <w:t xml:space="preserve">Pricing, market share, margins</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Customer concentration</w:t>
            </w:r>
          </w:p>
        </w:tc>
        <w:tc>
          <w:tcPr>
            <w:tcW w:type="dxa" w:w="4836"/>
            <w:tcMar>
              <w:top w:w="80" w:type="dxa"/>
              <w:start w:w="90" w:type="dxa"/>
              <w:bottom w:w="80" w:type="dxa"/>
              <w:end w:w="90" w:type="dxa"/>
            </w:tcMar>
            <w:vAlign w:val="center"/>
          </w:tcPr>
          <w:p>
            <w:pPr>
              <w:spacing w:after="0" w:line="240" w:lineRule="auto"/>
            </w:pPr>
            <w:r>
              <w:rPr>
                <w:color w:val="182633"/>
                <w:sz w:val="16"/>
              </w:rPr>
              <w:t xml:space="preserve">Top five 27%; one &gt;10% [3]</w:t>
            </w:r>
          </w:p>
        </w:tc>
        <w:tc>
          <w:tcPr>
            <w:tcW w:type="dxa" w:w="2500"/>
            <w:tcMar>
              <w:top w:w="80" w:type="dxa"/>
              <w:start w:w="90" w:type="dxa"/>
              <w:bottom w:w="80" w:type="dxa"/>
              <w:end w:w="90" w:type="dxa"/>
            </w:tcMar>
            <w:vAlign w:val="center"/>
          </w:tcPr>
          <w:p>
            <w:pPr>
              <w:spacing w:after="0" w:line="240" w:lineRule="auto"/>
            </w:pPr>
            <w:r>
              <w:rPr>
                <w:color w:val="182633"/>
                <w:sz w:val="16"/>
              </w:rPr>
              <w:t xml:space="preserve">Quarterly revenue and margin</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Reporting and controls</w:t>
            </w:r>
          </w:p>
        </w:tc>
        <w:tc>
          <w:tcPr>
            <w:tcW w:type="dxa" w:w="4836"/>
            <w:shd w:val="clear" w:color="auto" w:fill="F5F7F9"/>
            <w:tcMar>
              <w:top w:w="80" w:type="dxa"/>
              <w:start w:w="90" w:type="dxa"/>
              <w:bottom w:w="80" w:type="dxa"/>
              <w:end w:w="90" w:type="dxa"/>
            </w:tcMar>
            <w:vAlign w:val="center"/>
          </w:tcPr>
          <w:p>
            <w:pPr>
              <w:spacing w:after="0" w:line="240" w:lineRule="auto"/>
            </w:pPr>
            <w:r>
              <w:rPr>
                <w:color w:val="182633"/>
                <w:sz w:val="16"/>
              </w:rPr>
              <w:t xml:space="preserve">Three ineffective-control reports; new PFO [2][3][4]</w:t>
            </w:r>
          </w:p>
        </w:tc>
        <w:tc>
          <w:tcPr>
            <w:tcW w:type="dxa" w:w="2500"/>
            <w:shd w:val="clear" w:color="auto" w:fill="F5F7F9"/>
            <w:tcMar>
              <w:top w:w="80" w:type="dxa"/>
              <w:start w:w="90" w:type="dxa"/>
              <w:bottom w:w="80" w:type="dxa"/>
              <w:end w:w="90" w:type="dxa"/>
            </w:tcMar>
            <w:vAlign w:val="center"/>
          </w:tcPr>
          <w:p>
            <w:pPr>
              <w:spacing w:after="0" w:line="240" w:lineRule="auto"/>
            </w:pPr>
            <w:r>
              <w:rPr>
                <w:color w:val="182633"/>
                <w:sz w:val="16"/>
              </w:rPr>
              <w:t xml:space="preserve">Filing timeliness; credibility</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Dilution</w:t>
            </w:r>
          </w:p>
        </w:tc>
        <w:tc>
          <w:tcPr>
            <w:tcW w:type="dxa" w:w="4836"/>
            <w:tcMar>
              <w:top w:w="80" w:type="dxa"/>
              <w:start w:w="90" w:type="dxa"/>
              <w:bottom w:w="80" w:type="dxa"/>
              <w:end w:w="90" w:type="dxa"/>
            </w:tcMar>
            <w:vAlign w:val="center"/>
          </w:tcPr>
          <w:p>
            <w:pPr>
              <w:spacing w:after="0" w:line="240" w:lineRule="auto"/>
            </w:pPr>
            <w:r>
              <w:rPr>
                <w:color w:val="182633"/>
                <w:sz w:val="16"/>
              </w:rPr>
              <w:t xml:space="preserve">Share count ~5.7x in 15 months; equity line may still be available; right of first refusal on new equity [2][8][33]</w:t>
            </w:r>
          </w:p>
        </w:tc>
        <w:tc>
          <w:tcPr>
            <w:tcW w:type="dxa" w:w="2500"/>
            <w:tcMar>
              <w:top w:w="80" w:type="dxa"/>
              <w:start w:w="90" w:type="dxa"/>
              <w:bottom w:w="80" w:type="dxa"/>
              <w:end w:w="90" w:type="dxa"/>
            </w:tcMar>
            <w:vAlign w:val="center"/>
          </w:tcPr>
          <w:p>
            <w:pPr>
              <w:spacing w:after="0" w:line="240" w:lineRule="auto"/>
            </w:pPr>
            <w:r>
              <w:rPr>
                <w:color w:val="182633"/>
                <w:sz w:val="16"/>
              </w:rPr>
              <w:t xml:space="preserve">Per-share value</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No credit line</w:t>
            </w:r>
          </w:p>
        </w:tc>
        <w:tc>
          <w:tcPr>
            <w:tcW w:type="dxa" w:w="4836"/>
            <w:shd w:val="clear" w:color="auto" w:fill="F5F7F9"/>
            <w:tcMar>
              <w:top w:w="80" w:type="dxa"/>
              <w:start w:w="90" w:type="dxa"/>
              <w:bottom w:w="80" w:type="dxa"/>
              <w:end w:w="90" w:type="dxa"/>
            </w:tcMar>
            <w:vAlign w:val="center"/>
          </w:tcPr>
          <w:p>
            <w:pPr>
              <w:spacing w:after="0" w:line="240" w:lineRule="auto"/>
            </w:pPr>
            <w:r>
              <w:rPr>
                <w:color w:val="182633"/>
                <w:sz w:val="16"/>
              </w:rPr>
              <w:t xml:space="preserve">Revolver terminated Aug. 2025; cash $54.6M; purchase commitments $142.6M [2]</w:t>
            </w:r>
          </w:p>
        </w:tc>
        <w:tc>
          <w:tcPr>
            <w:tcW w:type="dxa" w:w="2500"/>
            <w:shd w:val="clear" w:color="auto" w:fill="F5F7F9"/>
            <w:tcMar>
              <w:top w:w="80" w:type="dxa"/>
              <w:start w:w="90" w:type="dxa"/>
              <w:bottom w:w="80" w:type="dxa"/>
              <w:end w:w="90" w:type="dxa"/>
            </w:tcMar>
            <w:vAlign w:val="center"/>
          </w:tcPr>
          <w:p>
            <w:pPr>
              <w:spacing w:after="0" w:line="240" w:lineRule="auto"/>
            </w:pPr>
            <w:r>
              <w:rPr>
                <w:color w:val="182633"/>
                <w:sz w:val="16"/>
              </w:rPr>
              <w:t xml:space="preserve">Liquidity if growth stalls</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Share overhang</w:t>
            </w:r>
          </w:p>
        </w:tc>
        <w:tc>
          <w:tcPr>
            <w:tcW w:type="dxa" w:w="4836"/>
            <w:tcMar>
              <w:top w:w="80" w:type="dxa"/>
              <w:start w:w="90" w:type="dxa"/>
              <w:bottom w:w="80" w:type="dxa"/>
              <w:end w:w="90" w:type="dxa"/>
            </w:tcMar>
            <w:vAlign w:val="center"/>
          </w:tcPr>
          <w:p>
            <w:pPr>
              <w:spacing w:after="0" w:line="240" w:lineRule="auto"/>
            </w:pPr>
            <w:r>
              <w:rPr>
                <w:color w:val="182633"/>
                <w:sz w:val="16"/>
              </w:rPr>
              <w:t xml:space="preserve">~13.8M shares registered for resale; Dialectic may distribute to its LPs under lock-up terms [9][18]</w:t>
            </w:r>
          </w:p>
        </w:tc>
        <w:tc>
          <w:tcPr>
            <w:tcW w:type="dxa" w:w="2500"/>
            <w:tcMar>
              <w:top w:w="80" w:type="dxa"/>
              <w:start w:w="90" w:type="dxa"/>
              <w:bottom w:w="80" w:type="dxa"/>
              <w:end w:w="90" w:type="dxa"/>
            </w:tcMar>
            <w:vAlign w:val="center"/>
          </w:tcPr>
          <w:p>
            <w:pPr>
              <w:spacing w:after="0" w:line="240" w:lineRule="auto"/>
            </w:pPr>
            <w:r>
              <w:rPr>
                <w:color w:val="182633"/>
                <w:sz w:val="16"/>
              </w:rPr>
              <w:t xml:space="preserve">Price pressure</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Litigation</w:t>
            </w:r>
          </w:p>
        </w:tc>
        <w:tc>
          <w:tcPr>
            <w:tcW w:type="dxa" w:w="4836"/>
            <w:shd w:val="clear" w:color="auto" w:fill="F5F7F9"/>
            <w:tcMar>
              <w:top w:w="80" w:type="dxa"/>
              <w:start w:w="90" w:type="dxa"/>
              <w:bottom w:w="80" w:type="dxa"/>
              <w:end w:w="90" w:type="dxa"/>
            </w:tcMar>
            <w:vAlign w:val="center"/>
          </w:tcPr>
          <w:p>
            <w:pPr>
              <w:spacing w:after="0" w:line="240" w:lineRule="auto"/>
            </w:pPr>
            <w:r>
              <w:rPr>
                <w:color w:val="182633"/>
                <w:sz w:val="16"/>
              </w:rPr>
              <w:t xml:space="preserve">Class action pending; derivative suits stayed [2]</w:t>
            </w:r>
          </w:p>
        </w:tc>
        <w:tc>
          <w:tcPr>
            <w:tcW w:type="dxa" w:w="2500"/>
            <w:shd w:val="clear" w:color="auto" w:fill="F5F7F9"/>
            <w:tcMar>
              <w:top w:w="80" w:type="dxa"/>
              <w:start w:w="90" w:type="dxa"/>
              <w:bottom w:w="80" w:type="dxa"/>
              <w:end w:w="90" w:type="dxa"/>
            </w:tcMar>
            <w:vAlign w:val="center"/>
          </w:tcPr>
          <w:p>
            <w:pPr>
              <w:spacing w:after="0" w:line="240" w:lineRule="auto"/>
            </w:pPr>
            <w:r>
              <w:rPr>
                <w:color w:val="182633"/>
                <w:sz w:val="16"/>
              </w:rPr>
              <w:t xml:space="preserve">Cost; management time</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Cloud substitution</w:t>
            </w:r>
          </w:p>
        </w:tc>
        <w:tc>
          <w:tcPr>
            <w:tcW w:type="dxa" w:w="4836"/>
            <w:tcMar>
              <w:top w:w="80" w:type="dxa"/>
              <w:start w:w="90" w:type="dxa"/>
              <w:bottom w:w="80" w:type="dxa"/>
              <w:end w:w="90" w:type="dxa"/>
            </w:tcMar>
            <w:vAlign w:val="center"/>
          </w:tcPr>
          <w:p>
            <w:pPr>
              <w:spacing w:after="0" w:line="240" w:lineRule="auto"/>
            </w:pPr>
            <w:r>
              <w:rPr>
                <w:color w:val="182633"/>
                <w:sz w:val="16"/>
              </w:rPr>
              <w:t xml:space="preserve">Cloud archive is an indirect alternative [3][22]</w:t>
            </w:r>
          </w:p>
        </w:tc>
        <w:tc>
          <w:tcPr>
            <w:tcW w:type="dxa" w:w="2500"/>
            <w:tcMar>
              <w:top w:w="80" w:type="dxa"/>
              <w:start w:w="90" w:type="dxa"/>
              <w:bottom w:w="80" w:type="dxa"/>
              <w:end w:w="90" w:type="dxa"/>
            </w:tcMar>
            <w:vAlign w:val="center"/>
          </w:tcPr>
          <w:p>
            <w:pPr>
              <w:spacing w:after="0" w:line="240" w:lineRule="auto"/>
            </w:pPr>
            <w:r>
              <w:rPr>
                <w:color w:val="182633"/>
                <w:sz w:val="16"/>
              </w:rPr>
              <w:t xml:space="preserve">Enterprise tape demand; pricing</w:t>
            </w:r>
          </w:p>
        </w:tc>
      </w:tr>
      <w:tr>
        <w:trPr>
          <w:cantSplit/>
        </w:trPr>
        <w:tc>
          <w:tcPr>
            <w:tcW w:type="dxa" w:w="2600"/>
            <w:shd w:val="clear" w:color="auto" w:fill="F5F7F9"/>
            <w:tcMar>
              <w:top w:w="80" w:type="dxa"/>
              <w:start w:w="90" w:type="dxa"/>
              <w:bottom w:w="80" w:type="dxa"/>
              <w:end w:w="90" w:type="dxa"/>
            </w:tcMar>
            <w:vAlign w:val="center"/>
          </w:tcPr>
          <w:p>
            <w:pPr>
              <w:spacing w:after="0" w:line="240" w:lineRule="auto"/>
            </w:pPr>
            <w:r>
              <w:rPr>
                <w:b/>
                <w:color w:val="12304A"/>
                <w:sz w:val="16"/>
              </w:rPr>
              <w:t xml:space="preserve">Sentiment reversal</w:t>
            </w:r>
          </w:p>
        </w:tc>
        <w:tc>
          <w:tcPr>
            <w:tcW w:type="dxa" w:w="4836"/>
            <w:shd w:val="clear" w:color="auto" w:fill="F5F7F9"/>
            <w:tcMar>
              <w:top w:w="80" w:type="dxa"/>
              <w:start w:w="90" w:type="dxa"/>
              <w:bottom w:w="80" w:type="dxa"/>
              <w:end w:w="90" w:type="dxa"/>
            </w:tcMar>
            <w:vAlign w:val="center"/>
          </w:tcPr>
          <w:p>
            <w:pPr>
              <w:spacing w:after="0" w:line="240" w:lineRule="auto"/>
            </w:pPr>
            <w:r>
              <w:rPr>
                <w:color w:val="182633"/>
                <w:sz w:val="16"/>
              </w:rPr>
              <w:t xml:space="preserve">~+372% YTD; above all published targets; forward P/E ~57x vs. ~16-24x for large peers [24][35]</w:t>
            </w:r>
          </w:p>
        </w:tc>
        <w:tc>
          <w:tcPr>
            <w:tcW w:type="dxa" w:w="2500"/>
            <w:shd w:val="clear" w:color="auto" w:fill="F5F7F9"/>
            <w:tcMar>
              <w:top w:w="80" w:type="dxa"/>
              <w:start w:w="90" w:type="dxa"/>
              <w:bottom w:w="80" w:type="dxa"/>
              <w:end w:w="90" w:type="dxa"/>
            </w:tcMar>
            <w:vAlign w:val="center"/>
          </w:tcPr>
          <w:p>
            <w:pPr>
              <w:spacing w:after="0" w:line="240" w:lineRule="auto"/>
            </w:pPr>
            <w:r>
              <w:rPr>
                <w:color w:val="182633"/>
                <w:sz w:val="16"/>
              </w:rPr>
              <w:t xml:space="preserve">Multiple</w:t>
            </w:r>
          </w:p>
        </w:tc>
      </w:tr>
    </w:tbl>
    <w:p>
      <w:pPr>
        <w:spacing w:after="0"/>
      </w:pP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400"/>
        <w:gridCol w:w="6536"/>
      </w:tblGrid>
      <w:tr>
        <w:trPr>
          <w:tblHeader/>
          <w:cantSplit/>
        </w:trPr>
        <w:tc>
          <w:tcPr>
            <w:tcW w:type="dxa" w:w="3400"/>
            <w:shd w:val="clear" w:color="auto" w:fill="12304A"/>
            <w:tcMar>
              <w:top w:w="80" w:type="dxa"/>
              <w:start w:w="90" w:type="dxa"/>
              <w:bottom w:w="80" w:type="dxa"/>
              <w:end w:w="90" w:type="dxa"/>
            </w:tcMar>
            <w:vAlign w:val="center"/>
          </w:tcPr>
          <w:p>
            <w:pPr>
              <w:spacing w:after="0" w:line="240" w:lineRule="auto"/>
            </w:pPr>
            <w:r>
              <w:rPr>
                <w:b/>
                <w:color w:val="FFFFFF"/>
                <w:sz w:val="16"/>
              </w:rPr>
              <w:t xml:space="preserve">Upside risk (to a cautious view)</w:t>
            </w:r>
          </w:p>
        </w:tc>
        <w:tc>
          <w:tcPr>
            <w:tcW w:type="dxa" w:w="6536"/>
            <w:shd w:val="clear" w:color="auto" w:fill="12304A"/>
            <w:tcMar>
              <w:top w:w="80" w:type="dxa"/>
              <w:start w:w="90" w:type="dxa"/>
              <w:bottom w:w="80" w:type="dxa"/>
              <w:end w:w="90" w:type="dxa"/>
            </w:tcMar>
            <w:vAlign w:val="center"/>
          </w:tcPr>
          <w:p>
            <w:pPr>
              <w:spacing w:after="0" w:line="240" w:lineRule="auto"/>
            </w:pPr>
            <w:r>
              <w:rPr>
                <w:b/>
                <w:color w:val="FFFFFF"/>
                <w:sz w:val="16"/>
              </w:rPr>
              <w:t xml:space="preserve">Evidence</w:t>
            </w:r>
          </w:p>
        </w:tc>
      </w:tr>
      <w:tr>
        <w:trPr>
          <w:cantSplit/>
        </w:trPr>
        <w:tc>
          <w:tcPr>
            <w:tcW w:type="dxa" w:w="3400"/>
            <w:tcMar>
              <w:top w:w="80" w:type="dxa"/>
              <w:start w:w="90" w:type="dxa"/>
              <w:bottom w:w="80" w:type="dxa"/>
              <w:end w:w="90" w:type="dxa"/>
            </w:tcMar>
            <w:vAlign w:val="center"/>
          </w:tcPr>
          <w:p>
            <w:pPr>
              <w:spacing w:after="0" w:line="240" w:lineRule="auto"/>
            </w:pPr>
            <w:r>
              <w:rPr>
                <w:b/>
                <w:color w:val="12304A"/>
                <w:sz w:val="16"/>
              </w:rPr>
              <w:t xml:space="preserve">IBM supply ramp</w:t>
            </w:r>
          </w:p>
        </w:tc>
        <w:tc>
          <w:tcPr>
            <w:tcW w:type="dxa" w:w="6536"/>
            <w:tcMar>
              <w:top w:w="80" w:type="dxa"/>
              <w:start w:w="90" w:type="dxa"/>
              <w:bottom w:w="80" w:type="dxa"/>
              <w:end w:w="90" w:type="dxa"/>
            </w:tcMar>
            <w:vAlign w:val="center"/>
          </w:tcPr>
          <w:p>
            <w:pPr>
              <w:spacing w:after="0" w:line="240" w:lineRule="auto"/>
            </w:pPr>
            <w:r>
              <w:rPr>
                <w:color w:val="182633"/>
                <w:sz w:val="16"/>
              </w:rPr>
              <w:t xml:space="preserve">IBM signaled higher production in the second half; no inflection by August [5]</w:t>
            </w:r>
          </w:p>
        </w:tc>
      </w:tr>
      <w:tr>
        <w:trPr>
          <w:cantSplit/>
        </w:trPr>
        <w:tc>
          <w:tcPr>
            <w:tcW w:type="dxa" w:w="3400"/>
            <w:shd w:val="clear" w:color="auto" w:fill="F5F7F9"/>
            <w:tcMar>
              <w:top w:w="80" w:type="dxa"/>
              <w:start w:w="90" w:type="dxa"/>
              <w:bottom w:w="80" w:type="dxa"/>
              <w:end w:w="90" w:type="dxa"/>
            </w:tcMar>
            <w:vAlign w:val="center"/>
          </w:tcPr>
          <w:p>
            <w:pPr>
              <w:spacing w:after="0" w:line="240" w:lineRule="auto"/>
            </w:pPr>
            <w:r>
              <w:rPr>
                <w:b/>
                <w:color w:val="12304A"/>
                <w:sz w:val="16"/>
              </w:rPr>
              <w:t xml:space="preserve">Takeover</w:t>
            </w:r>
          </w:p>
        </w:tc>
        <w:tc>
          <w:tcPr>
            <w:tcW w:type="dxa" w:w="6536"/>
            <w:shd w:val="clear" w:color="auto" w:fill="F5F7F9"/>
            <w:tcMar>
              <w:top w:w="80" w:type="dxa"/>
              <w:start w:w="90" w:type="dxa"/>
              <w:bottom w:w="80" w:type="dxa"/>
              <w:end w:w="90" w:type="dxa"/>
            </w:tcMar>
            <w:vAlign w:val="center"/>
          </w:tcPr>
          <w:p>
            <w:pPr>
              <w:spacing w:after="0" w:line="240" w:lineRule="auto"/>
            </w:pPr>
            <w:r>
              <w:rPr>
                <w:color w:val="182633"/>
                <w:sz w:val="16"/>
              </w:rPr>
              <w:t xml:space="preserve">A ~40% holder could support a sale [9][18]</w:t>
            </w:r>
          </w:p>
        </w:tc>
      </w:tr>
      <w:tr>
        <w:trPr>
          <w:cantSplit/>
        </w:trPr>
        <w:tc>
          <w:tcPr>
            <w:tcW w:type="dxa" w:w="3400"/>
            <w:tcMar>
              <w:top w:w="80" w:type="dxa"/>
              <w:start w:w="90" w:type="dxa"/>
              <w:bottom w:w="80" w:type="dxa"/>
              <w:end w:w="90" w:type="dxa"/>
            </w:tcMar>
            <w:vAlign w:val="center"/>
          </w:tcPr>
          <w:p>
            <w:pPr>
              <w:spacing w:after="0" w:line="240" w:lineRule="auto"/>
            </w:pPr>
            <w:r>
              <w:rPr>
                <w:b/>
                <w:color w:val="12304A"/>
                <w:sz w:val="16"/>
              </w:rPr>
              <w:t xml:space="preserve">Short squeeze</w:t>
            </w:r>
          </w:p>
        </w:tc>
        <w:tc>
          <w:tcPr>
            <w:tcW w:type="dxa" w:w="6536"/>
            <w:tcMar>
              <w:top w:w="80" w:type="dxa"/>
              <w:start w:w="90" w:type="dxa"/>
              <w:bottom w:w="80" w:type="dxa"/>
              <w:end w:w="90" w:type="dxa"/>
            </w:tcMar>
            <w:vAlign w:val="center"/>
          </w:tcPr>
          <w:p>
            <w:pPr>
              <w:spacing w:after="0" w:line="240" w:lineRule="auto"/>
            </w:pPr>
            <w:r>
              <w:rPr>
                <w:color w:val="182633"/>
                <w:sz w:val="16"/>
              </w:rPr>
              <w:t xml:space="preserve">~3.12M shares short, ~1.7 days of average volume; Dialectic holds ~36% of shares outstanding [18][27][35]</w:t>
            </w:r>
          </w:p>
        </w:tc>
      </w:tr>
      <w:tr>
        <w:trPr>
          <w:cantSplit/>
        </w:trPr>
        <w:tc>
          <w:tcPr>
            <w:tcW w:type="dxa" w:w="3400"/>
            <w:shd w:val="clear" w:color="auto" w:fill="F5F7F9"/>
            <w:tcMar>
              <w:top w:w="80" w:type="dxa"/>
              <w:start w:w="90" w:type="dxa"/>
              <w:bottom w:w="80" w:type="dxa"/>
              <w:end w:w="90" w:type="dxa"/>
            </w:tcMar>
            <w:vAlign w:val="center"/>
          </w:tcPr>
          <w:p>
            <w:pPr>
              <w:spacing w:after="0" w:line="240" w:lineRule="auto"/>
            </w:pPr>
            <w:r>
              <w:rPr>
                <w:b/>
                <w:color w:val="12304A"/>
                <w:sz w:val="16"/>
              </w:rPr>
              <w:t xml:space="preserve">Tape cycle</w:t>
            </w:r>
          </w:p>
        </w:tc>
        <w:tc>
          <w:tcPr>
            <w:tcW w:type="dxa" w:w="6536"/>
            <w:shd w:val="clear" w:color="auto" w:fill="F5F7F9"/>
            <w:tcMar>
              <w:top w:w="80" w:type="dxa"/>
              <w:start w:w="90" w:type="dxa"/>
              <w:bottom w:w="80" w:type="dxa"/>
              <w:end w:w="90" w:type="dxa"/>
            </w:tcMar>
            <w:vAlign w:val="center"/>
          </w:tcPr>
          <w:p>
            <w:pPr>
              <w:spacing w:after="0" w:line="240" w:lineRule="auto"/>
            </w:pPr>
            <w:r>
              <w:rPr>
                <w:color w:val="182633"/>
                <w:sz w:val="16"/>
              </w:rPr>
              <w:t xml:space="preserve">LTO shipments +57% YoY in Q1 2026 [19]</w:t>
            </w:r>
          </w:p>
        </w:tc>
      </w:tr>
      <w:tr>
        <w:trPr>
          <w:cantSplit/>
        </w:trPr>
        <w:tc>
          <w:tcPr>
            <w:tcW w:type="dxa" w:w="3400"/>
            <w:tcMar>
              <w:top w:w="80" w:type="dxa"/>
              <w:start w:w="90" w:type="dxa"/>
              <w:bottom w:w="80" w:type="dxa"/>
              <w:end w:w="90" w:type="dxa"/>
            </w:tcMar>
            <w:vAlign w:val="center"/>
          </w:tcPr>
          <w:p>
            <w:pPr>
              <w:spacing w:after="0" w:line="240" w:lineRule="auto"/>
            </w:pPr>
            <w:r>
              <w:rPr>
                <w:b/>
                <w:color w:val="12304A"/>
                <w:sz w:val="16"/>
              </w:rPr>
              <w:t xml:space="preserve">ADM traction</w:t>
            </w:r>
          </w:p>
        </w:tc>
        <w:tc>
          <w:tcPr>
            <w:tcW w:type="dxa" w:w="6536"/>
            <w:tcMar>
              <w:top w:w="80" w:type="dxa"/>
              <w:start w:w="90" w:type="dxa"/>
              <w:bottom w:w="80" w:type="dxa"/>
              <w:end w:w="90" w:type="dxa"/>
            </w:tcMar>
            <w:vAlign w:val="center"/>
          </w:tcPr>
          <w:p>
            <w:pPr>
              <w:spacing w:after="0" w:line="240" w:lineRule="auto"/>
            </w:pPr>
            <w:r>
              <w:rPr>
                <w:color w:val="182633"/>
                <w:sz w:val="16"/>
              </w:rPr>
              <w:t xml:space="preserve">Launched Sep. 2026; no revenue data yet</w:t>
            </w:r>
          </w:p>
        </w:tc>
      </w:tr>
    </w:tbl>
    <w:p>
      <w:pPr>
        <w:spacing w:after="0"/>
      </w:pPr>
    </w:p>
    <w:p>
      <w:pPr>
        <w:pStyle w:val="Heading1"/>
      </w:pPr>
      <w:r>
        <w:t xml:space="preserve">7. Decision and monitoring</w:t>
      </w:r>
    </w:p>
    <w:p>
      <w:pPr>
        <w:pStyle w:val="ListBullet"/>
        <w:spacing w:after="40" w:line="247" w:lineRule="auto"/>
        <w:ind w:left="317" w:hanging="173"/>
      </w:pPr>
      <w:r>
        <w:rPr>
          <w:b/>
        </w:rPr>
        <w:t xml:space="preserve">Rating: SELL.</w:t>
      </w:r>
      <w:r>
        <w:t xml:space="preserve"> At about $30 the stock is overpriced. Even with the debt gone, I would sell.</w:t>
      </w:r>
    </w:p>
    <w:p>
      <w:pPr>
        <w:pStyle w:val="ListBullet"/>
        <w:spacing w:after="40" w:line="247" w:lineRule="auto"/>
        <w:ind w:left="317" w:hanging="173"/>
      </w:pPr>
      <w:r>
        <w:rPr>
          <w:b/>
        </w:rPr>
        <w:t xml:space="preserve">Price target: Under Review.</w:t>
      </w:r>
      <w:r>
        <w:t xml:space="preserve"> I will set a target after the next two quarterly reports and updated company guidance give a clearer picture. The scenario values and competitor multiples in section 3 are reference points, not a target.</w:t>
      </w:r>
    </w:p>
    <w:p>
      <w:pPr>
        <w:pStyle w:val="ListBullet"/>
        <w:spacing w:after="40" w:line="247" w:lineRule="auto"/>
        <w:ind w:left="317" w:hanging="173"/>
      </w:pPr>
      <w:r>
        <w:rPr>
          <w:b/>
        </w:rPr>
        <w:t xml:space="preserve">Short-term HOLD is possible.</w:t>
      </w:r>
      <w:r>
        <w:t xml:space="preserve"> A holder who accepts high risk can hold into the next report with a written exit rule, based on the negative signals in the table below. In my view the risk is high compared with the reward.</w:t>
      </w:r>
    </w:p>
    <w:p>
      <w:pPr>
        <w:pStyle w:val="ListBullet"/>
        <w:spacing w:after="40" w:line="247" w:lineRule="auto"/>
        <w:ind w:left="317" w:hanging="173"/>
      </w:pPr>
      <w:r>
        <w:rPr>
          <w:b/>
        </w:rPr>
        <w:t xml:space="preserve">New money:</w:t>
      </w:r>
      <w:r>
        <w:t xml:space="preserve"> not a buy at this price.</w:t>
      </w:r>
    </w:p>
    <w:p>
      <w:pPr>
        <w:pStyle w:val="ListBullet"/>
        <w:spacing w:after="40" w:line="247" w:lineRule="auto"/>
        <w:ind w:left="317" w:hanging="173"/>
      </w:pPr>
      <w:r>
        <w:rPr>
          <w:b/>
        </w:rPr>
        <w:t xml:space="preserve">Watch, then decide.</w:t>
      </w:r>
      <w:r>
        <w:t xml:space="preserve"> The new management is promising. I will follow the next several quarters. I would consider buying only after the positive signals below show up.</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1900"/>
        <w:gridCol w:w="1800"/>
        <w:gridCol w:w="3118"/>
        <w:gridCol w:w="3118"/>
      </w:tblGrid>
      <w:tr>
        <w:trPr>
          <w:tblHeader/>
          <w:cantSplit/>
        </w:trPr>
        <w:tc>
          <w:tcPr>
            <w:tcW w:type="dxa" w:w="1900"/>
            <w:shd w:val="clear" w:color="auto" w:fill="12304A"/>
            <w:tcMar>
              <w:top w:w="80" w:type="dxa"/>
              <w:start w:w="90" w:type="dxa"/>
              <w:bottom w:w="80" w:type="dxa"/>
              <w:end w:w="90" w:type="dxa"/>
            </w:tcMar>
            <w:vAlign w:val="center"/>
          </w:tcPr>
          <w:p>
            <w:pPr>
              <w:spacing w:after="0" w:line="240" w:lineRule="auto"/>
            </w:pPr>
            <w:r>
              <w:rPr>
                <w:b/>
                <w:color w:val="FFFFFF"/>
                <w:sz w:val="16"/>
              </w:rPr>
              <w:t xml:space="preserve">Checkpoint</w:t>
            </w:r>
          </w:p>
        </w:tc>
        <w:tc>
          <w:tcPr>
            <w:tcW w:type="dxa" w:w="1800"/>
            <w:shd w:val="clear" w:color="auto" w:fill="12304A"/>
            <w:tcMar>
              <w:top w:w="80" w:type="dxa"/>
              <w:start w:w="90" w:type="dxa"/>
              <w:bottom w:w="80" w:type="dxa"/>
              <w:end w:w="90" w:type="dxa"/>
            </w:tcMar>
            <w:vAlign w:val="center"/>
          </w:tcPr>
          <w:p>
            <w:pPr>
              <w:spacing w:after="0" w:line="240" w:lineRule="auto"/>
            </w:pPr>
            <w:r>
              <w:rPr>
                <w:b/>
                <w:color w:val="FFFFFF"/>
                <w:sz w:val="16"/>
              </w:rPr>
              <w:t xml:space="preserve">Timing</w:t>
            </w:r>
          </w:p>
        </w:tc>
        <w:tc>
          <w:tcPr>
            <w:tcW w:type="dxa" w:w="3118"/>
            <w:shd w:val="clear" w:color="auto" w:fill="12304A"/>
            <w:tcMar>
              <w:top w:w="80" w:type="dxa"/>
              <w:start w:w="90" w:type="dxa"/>
              <w:bottom w:w="80" w:type="dxa"/>
              <w:end w:w="90" w:type="dxa"/>
            </w:tcMar>
            <w:vAlign w:val="center"/>
          </w:tcPr>
          <w:p>
            <w:pPr>
              <w:spacing w:after="0" w:line="240" w:lineRule="auto"/>
            </w:pPr>
            <w:r>
              <w:rPr>
                <w:b/>
                <w:color w:val="FFFFFF"/>
                <w:sz w:val="16"/>
              </w:rPr>
              <w:t xml:space="preserve">Positive signal</w:t>
            </w:r>
          </w:p>
        </w:tc>
        <w:tc>
          <w:tcPr>
            <w:tcW w:type="dxa" w:w="3118"/>
            <w:shd w:val="clear" w:color="auto" w:fill="12304A"/>
            <w:tcMar>
              <w:top w:w="80" w:type="dxa"/>
              <w:start w:w="90" w:type="dxa"/>
              <w:bottom w:w="80" w:type="dxa"/>
              <w:end w:w="90" w:type="dxa"/>
            </w:tcMar>
            <w:vAlign w:val="center"/>
          </w:tcPr>
          <w:p>
            <w:pPr>
              <w:spacing w:after="0" w:line="240" w:lineRule="auto"/>
            </w:pPr>
            <w:r>
              <w:rPr>
                <w:b/>
                <w:color w:val="FFFFFF"/>
                <w:sz w:val="16"/>
              </w:rPr>
              <w:t xml:space="preserve">Negative signal</w:t>
            </w:r>
          </w:p>
        </w:tc>
      </w:tr>
      <w:tr>
        <w:trPr>
          <w:cantSplit/>
        </w:trPr>
        <w:tc>
          <w:tcPr>
            <w:tcW w:type="dxa" w:w="1900"/>
            <w:tcMar>
              <w:top w:w="80" w:type="dxa"/>
              <w:start w:w="90" w:type="dxa"/>
              <w:bottom w:w="80" w:type="dxa"/>
              <w:end w:w="90" w:type="dxa"/>
            </w:tcMar>
            <w:vAlign w:val="center"/>
          </w:tcPr>
          <w:p>
            <w:pPr>
              <w:spacing w:after="0" w:line="240" w:lineRule="auto"/>
            </w:pPr>
            <w:r>
              <w:rPr>
                <w:b/>
                <w:color w:val="12304A"/>
                <w:sz w:val="16"/>
              </w:rPr>
              <w:t xml:space="preserve">Q2 FY2027 results and 10-Q</w:t>
            </w:r>
          </w:p>
        </w:tc>
        <w:tc>
          <w:tcPr>
            <w:tcW w:type="dxa" w:w="1800"/>
            <w:tcMar>
              <w:top w:w="80" w:type="dxa"/>
              <w:start w:w="90" w:type="dxa"/>
              <w:bottom w:w="80" w:type="dxa"/>
              <w:end w:w="90" w:type="dxa"/>
            </w:tcMar>
            <w:vAlign w:val="center"/>
          </w:tcPr>
          <w:p>
            <w:pPr>
              <w:spacing w:after="0" w:line="240" w:lineRule="auto"/>
            </w:pPr>
            <w:r>
              <w:rPr>
                <w:color w:val="182633"/>
                <w:sz w:val="16"/>
              </w:rPr>
              <w:t xml:space="preserve">Likely mid-Nov. 2026 (est. Nov. 12; prior year Nov. 13, 2025)</w:t>
            </w:r>
          </w:p>
        </w:tc>
        <w:tc>
          <w:tcPr>
            <w:tcW w:type="dxa" w:w="3118"/>
            <w:tcMar>
              <w:top w:w="80" w:type="dxa"/>
              <w:start w:w="90" w:type="dxa"/>
              <w:bottom w:w="80" w:type="dxa"/>
              <w:end w:w="90" w:type="dxa"/>
            </w:tcMar>
            <w:vAlign w:val="center"/>
          </w:tcPr>
          <w:p>
            <w:pPr>
              <w:spacing w:after="0" w:line="240" w:lineRule="auto"/>
            </w:pPr>
            <w:r>
              <w:rPr>
                <w:color w:val="182633"/>
                <w:sz w:val="16"/>
              </w:rPr>
              <w:t xml:space="preserve">Revenue at or above $84M; gross margin at or above 39%; operating cash flow above $5M; backlog quantified</w:t>
            </w:r>
          </w:p>
        </w:tc>
        <w:tc>
          <w:tcPr>
            <w:tcW w:type="dxa" w:w="3118"/>
            <w:tcMar>
              <w:top w:w="80" w:type="dxa"/>
              <w:start w:w="90" w:type="dxa"/>
              <w:bottom w:w="80" w:type="dxa"/>
              <w:end w:w="90" w:type="dxa"/>
            </w:tcMar>
            <w:vAlign w:val="center"/>
          </w:tcPr>
          <w:p>
            <w:pPr>
              <w:spacing w:after="0" w:line="240" w:lineRule="auto"/>
            </w:pPr>
            <w:r>
              <w:rPr>
                <w:color w:val="182633"/>
                <w:sz w:val="16"/>
              </w:rPr>
              <w:t xml:space="preserve">Revenue at or below $82M; gross margin below 37%; late filing; new weakness; equity raise</w:t>
            </w:r>
          </w:p>
        </w:tc>
      </w:tr>
      <w:tr>
        <w:trPr>
          <w:cantSplit/>
        </w:trPr>
        <w:tc>
          <w:tcPr>
            <w:tcW w:type="dxa" w:w="1900"/>
            <w:shd w:val="clear" w:color="auto" w:fill="F5F7F9"/>
            <w:tcMar>
              <w:top w:w="80" w:type="dxa"/>
              <w:start w:w="90" w:type="dxa"/>
              <w:bottom w:w="80" w:type="dxa"/>
              <w:end w:w="90" w:type="dxa"/>
            </w:tcMar>
            <w:vAlign w:val="center"/>
          </w:tcPr>
          <w:p>
            <w:pPr>
              <w:spacing w:after="0" w:line="240" w:lineRule="auto"/>
            </w:pPr>
            <w:r>
              <w:rPr>
                <w:b/>
                <w:color w:val="12304A"/>
                <w:sz w:val="16"/>
              </w:rPr>
              <w:t xml:space="preserve">Q3 FY2027</w:t>
            </w:r>
          </w:p>
        </w:tc>
        <w:tc>
          <w:tcPr>
            <w:tcW w:type="dxa" w:w="1800"/>
            <w:shd w:val="clear" w:color="auto" w:fill="F5F7F9"/>
            <w:tcMar>
              <w:top w:w="80" w:type="dxa"/>
              <w:start w:w="90" w:type="dxa"/>
              <w:bottom w:w="80" w:type="dxa"/>
              <w:end w:w="90" w:type="dxa"/>
            </w:tcMar>
            <w:vAlign w:val="center"/>
          </w:tcPr>
          <w:p>
            <w:pPr>
              <w:spacing w:after="0" w:line="240" w:lineRule="auto"/>
            </w:pPr>
            <w:r>
              <w:rPr>
                <w:color w:val="182633"/>
                <w:sz w:val="16"/>
              </w:rPr>
              <w:t xml:space="preserve">Likely Feb. 2027</w:t>
            </w:r>
          </w:p>
        </w:tc>
        <w:tc>
          <w:tcPr>
            <w:tcW w:type="dxa" w:w="3118"/>
            <w:shd w:val="clear" w:color="auto" w:fill="F5F7F9"/>
            <w:tcMar>
              <w:top w:w="80" w:type="dxa"/>
              <w:start w:w="90" w:type="dxa"/>
              <w:bottom w:w="80" w:type="dxa"/>
              <w:end w:w="90" w:type="dxa"/>
            </w:tcMar>
            <w:vAlign w:val="center"/>
          </w:tcPr>
          <w:p>
            <w:pPr>
              <w:spacing w:after="0" w:line="240" w:lineRule="auto"/>
            </w:pPr>
            <w:r>
              <w:rPr>
                <w:color w:val="182633"/>
                <w:sz w:val="16"/>
              </w:rPr>
              <w:t xml:space="preserve">Higher drive supply; revenue above $90M; second quarter of positive free cash flow</w:t>
            </w:r>
          </w:p>
        </w:tc>
        <w:tc>
          <w:tcPr>
            <w:tcW w:type="dxa" w:w="3118"/>
            <w:shd w:val="clear" w:color="auto" w:fill="F5F7F9"/>
            <w:tcMar>
              <w:top w:w="80" w:type="dxa"/>
              <w:start w:w="90" w:type="dxa"/>
              <w:bottom w:w="80" w:type="dxa"/>
              <w:end w:w="90" w:type="dxa"/>
            </w:tcMar>
            <w:vAlign w:val="center"/>
          </w:tcPr>
          <w:p>
            <w:pPr>
              <w:spacing w:after="0" w:line="240" w:lineRule="auto"/>
            </w:pPr>
            <w:r>
              <w:rPr>
                <w:color w:val="182633"/>
                <w:sz w:val="16"/>
              </w:rPr>
              <w:t xml:space="preserve">Supply flat; receivables and inventory outrunning cash</w:t>
            </w:r>
          </w:p>
        </w:tc>
      </w:tr>
      <w:tr>
        <w:trPr>
          <w:cantSplit/>
        </w:trPr>
        <w:tc>
          <w:tcPr>
            <w:tcW w:type="dxa" w:w="1900"/>
            <w:tcMar>
              <w:top w:w="80" w:type="dxa"/>
              <w:start w:w="90" w:type="dxa"/>
              <w:bottom w:w="80" w:type="dxa"/>
              <w:end w:w="90" w:type="dxa"/>
            </w:tcMar>
            <w:vAlign w:val="center"/>
          </w:tcPr>
          <w:p>
            <w:pPr>
              <w:spacing w:after="0" w:line="240" w:lineRule="auto"/>
            </w:pPr>
            <w:r>
              <w:rPr>
                <w:b/>
                <w:color w:val="12304A"/>
                <w:sz w:val="16"/>
              </w:rPr>
              <w:t xml:space="preserve">Controls</w:t>
            </w:r>
          </w:p>
        </w:tc>
        <w:tc>
          <w:tcPr>
            <w:tcW w:type="dxa" w:w="1800"/>
            <w:tcMar>
              <w:top w:w="80" w:type="dxa"/>
              <w:start w:w="90" w:type="dxa"/>
              <w:bottom w:w="80" w:type="dxa"/>
              <w:end w:w="90" w:type="dxa"/>
            </w:tcMar>
            <w:vAlign w:val="center"/>
          </w:tcPr>
          <w:p>
            <w:pPr>
              <w:spacing w:after="0" w:line="240" w:lineRule="auto"/>
            </w:pPr>
            <w:r>
              <w:rPr>
                <w:color w:val="182633"/>
                <w:sz w:val="16"/>
              </w:rPr>
              <w:t xml:space="preserve">FY2027 10-K (~Jun. 2027)</w:t>
            </w:r>
          </w:p>
        </w:tc>
        <w:tc>
          <w:tcPr>
            <w:tcW w:type="dxa" w:w="3118"/>
            <w:tcMar>
              <w:top w:w="80" w:type="dxa"/>
              <w:start w:w="90" w:type="dxa"/>
              <w:bottom w:w="80" w:type="dxa"/>
              <w:end w:w="90" w:type="dxa"/>
            </w:tcMar>
            <w:vAlign w:val="center"/>
          </w:tcPr>
          <w:p>
            <w:pPr>
              <w:spacing w:after="0" w:line="240" w:lineRule="auto"/>
            </w:pPr>
            <w:r>
              <w:rPr>
                <w:color w:val="182633"/>
                <w:sz w:val="16"/>
              </w:rPr>
              <w:t xml:space="preserve">Weaknesses remediated; permanent CFO</w:t>
            </w:r>
          </w:p>
        </w:tc>
        <w:tc>
          <w:tcPr>
            <w:tcW w:type="dxa" w:w="3118"/>
            <w:tcMar>
              <w:top w:w="80" w:type="dxa"/>
              <w:start w:w="90" w:type="dxa"/>
              <w:bottom w:w="80" w:type="dxa"/>
              <w:end w:w="90" w:type="dxa"/>
            </w:tcMar>
            <w:vAlign w:val="center"/>
          </w:tcPr>
          <w:p>
            <w:pPr>
              <w:spacing w:after="0" w:line="240" w:lineRule="auto"/>
            </w:pPr>
            <w:r>
              <w:rPr>
                <w:color w:val="182633"/>
                <w:sz w:val="16"/>
              </w:rPr>
              <w:t xml:space="preserve">Still ineffective; another restatement</w:t>
            </w:r>
          </w:p>
        </w:tc>
      </w:tr>
      <w:tr>
        <w:trPr>
          <w:cantSplit/>
        </w:trPr>
        <w:tc>
          <w:tcPr>
            <w:tcW w:type="dxa" w:w="1900"/>
            <w:shd w:val="clear" w:color="auto" w:fill="F5F7F9"/>
            <w:tcMar>
              <w:top w:w="80" w:type="dxa"/>
              <w:start w:w="90" w:type="dxa"/>
              <w:bottom w:w="80" w:type="dxa"/>
              <w:end w:w="90" w:type="dxa"/>
            </w:tcMar>
            <w:vAlign w:val="center"/>
          </w:tcPr>
          <w:p>
            <w:pPr>
              <w:spacing w:after="0" w:line="240" w:lineRule="auto"/>
            </w:pPr>
            <w:r>
              <w:rPr>
                <w:b/>
                <w:color w:val="12304A"/>
                <w:sz w:val="16"/>
              </w:rPr>
              <w:t xml:space="preserve">Litigation</w:t>
            </w:r>
          </w:p>
        </w:tc>
        <w:tc>
          <w:tcPr>
            <w:tcW w:type="dxa" w:w="1800"/>
            <w:shd w:val="clear" w:color="auto" w:fill="F5F7F9"/>
            <w:tcMar>
              <w:top w:w="80" w:type="dxa"/>
              <w:start w:w="90" w:type="dxa"/>
              <w:bottom w:w="80" w:type="dxa"/>
              <w:end w:w="90" w:type="dxa"/>
            </w:tcMar>
            <w:vAlign w:val="center"/>
          </w:tcPr>
          <w:p>
            <w:pPr>
              <w:spacing w:after="0" w:line="240" w:lineRule="auto"/>
            </w:pPr>
            <w:r>
              <w:rPr>
                <w:color w:val="182633"/>
                <w:sz w:val="16"/>
              </w:rPr>
              <w:t xml:space="preserve">Ongoing</w:t>
            </w:r>
          </w:p>
        </w:tc>
        <w:tc>
          <w:tcPr>
            <w:tcW w:type="dxa" w:w="3118"/>
            <w:shd w:val="clear" w:color="auto" w:fill="F5F7F9"/>
            <w:tcMar>
              <w:top w:w="80" w:type="dxa"/>
              <w:start w:w="90" w:type="dxa"/>
              <w:bottom w:w="80" w:type="dxa"/>
              <w:end w:w="90" w:type="dxa"/>
            </w:tcMar>
            <w:vAlign w:val="center"/>
          </w:tcPr>
          <w:p>
            <w:pPr>
              <w:spacing w:after="0" w:line="240" w:lineRule="auto"/>
            </w:pPr>
            <w:r>
              <w:rPr>
                <w:color w:val="182633"/>
                <w:sz w:val="16"/>
              </w:rPr>
              <w:t xml:space="preserve">Motion to dismiss granted</w:t>
            </w:r>
          </w:p>
        </w:tc>
        <w:tc>
          <w:tcPr>
            <w:tcW w:type="dxa" w:w="3118"/>
            <w:shd w:val="clear" w:color="auto" w:fill="F5F7F9"/>
            <w:tcMar>
              <w:top w:w="80" w:type="dxa"/>
              <w:start w:w="90" w:type="dxa"/>
              <w:bottom w:w="80" w:type="dxa"/>
              <w:end w:w="90" w:type="dxa"/>
            </w:tcMar>
            <w:vAlign w:val="center"/>
          </w:tcPr>
          <w:p>
            <w:pPr>
              <w:spacing w:after="0" w:line="240" w:lineRule="auto"/>
            </w:pPr>
            <w:r>
              <w:rPr>
                <w:color w:val="182633"/>
                <w:sz w:val="16"/>
              </w:rPr>
              <w:t xml:space="preserve">Motion denied</w:t>
            </w:r>
          </w:p>
        </w:tc>
      </w:tr>
      <w:tr>
        <w:trPr>
          <w:cantSplit/>
        </w:trPr>
        <w:tc>
          <w:tcPr>
            <w:tcW w:type="dxa" w:w="1900"/>
            <w:tcMar>
              <w:top w:w="80" w:type="dxa"/>
              <w:start w:w="90" w:type="dxa"/>
              <w:bottom w:w="80" w:type="dxa"/>
              <w:end w:w="90" w:type="dxa"/>
            </w:tcMar>
            <w:vAlign w:val="center"/>
          </w:tcPr>
          <w:p>
            <w:pPr>
              <w:spacing w:after="0" w:line="240" w:lineRule="auto"/>
            </w:pPr>
            <w:r>
              <w:rPr>
                <w:b/>
                <w:color w:val="12304A"/>
                <w:sz w:val="16"/>
              </w:rPr>
              <w:t xml:space="preserve">Capital</w:t>
            </w:r>
          </w:p>
        </w:tc>
        <w:tc>
          <w:tcPr>
            <w:tcW w:type="dxa" w:w="1800"/>
            <w:tcMar>
              <w:top w:w="80" w:type="dxa"/>
              <w:start w:w="90" w:type="dxa"/>
              <w:bottom w:w="80" w:type="dxa"/>
              <w:end w:w="90" w:type="dxa"/>
            </w:tcMar>
            <w:vAlign w:val="center"/>
          </w:tcPr>
          <w:p>
            <w:pPr>
              <w:spacing w:after="0" w:line="240" w:lineRule="auto"/>
            </w:pPr>
            <w:r>
              <w:rPr>
                <w:color w:val="182633"/>
                <w:sz w:val="16"/>
              </w:rPr>
              <w:t xml:space="preserve">Any time</w:t>
            </w:r>
          </w:p>
        </w:tc>
        <w:tc>
          <w:tcPr>
            <w:tcW w:type="dxa" w:w="3118"/>
            <w:tcMar>
              <w:top w:w="80" w:type="dxa"/>
              <w:start w:w="90" w:type="dxa"/>
              <w:bottom w:w="80" w:type="dxa"/>
              <w:end w:w="90" w:type="dxa"/>
            </w:tcMar>
            <w:vAlign w:val="center"/>
          </w:tcPr>
          <w:p>
            <w:pPr>
              <w:spacing w:after="0" w:line="240" w:lineRule="auto"/>
            </w:pPr>
            <w:r>
              <w:rPr>
                <w:color w:val="182633"/>
                <w:sz w:val="16"/>
              </w:rPr>
              <w:t xml:space="preserve">No new equity</w:t>
            </w:r>
          </w:p>
        </w:tc>
        <w:tc>
          <w:tcPr>
            <w:tcW w:type="dxa" w:w="3118"/>
            <w:tcMar>
              <w:top w:w="80" w:type="dxa"/>
              <w:start w:w="90" w:type="dxa"/>
              <w:bottom w:w="80" w:type="dxa"/>
              <w:end w:w="90" w:type="dxa"/>
            </w:tcMar>
            <w:vAlign w:val="center"/>
          </w:tcPr>
          <w:p>
            <w:pPr>
              <w:spacing w:after="0" w:line="240" w:lineRule="auto"/>
            </w:pPr>
            <w:r>
              <w:rPr>
                <w:color w:val="182633"/>
                <w:sz w:val="16"/>
              </w:rPr>
              <w:t xml:space="preserve">Dilutive raise; insider or PIPE selling</w:t>
            </w:r>
          </w:p>
        </w:tc>
      </w:tr>
    </w:tbl>
    <w:p>
      <w:pPr>
        <w:spacing w:after="0"/>
      </w:pPr>
    </w:p>
    <w:p>
      <w:pPr>
        <w:pStyle w:val="SmallNote"/>
      </w:pPr>
      <w:r>
        <w:t xml:space="preserve">Thresholds are the author’s, set relative to company guidance [5].</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3300"/>
        <w:gridCol w:w="6636"/>
      </w:tblGrid>
      <w:tr>
        <w:trPr>
          <w:tblHeader/>
          <w:cantSplit/>
        </w:trPr>
        <w:tc>
          <w:tcPr>
            <w:tcW w:type="dxa" w:w="3300"/>
            <w:shd w:val="clear" w:color="auto" w:fill="12304A"/>
            <w:tcMar>
              <w:top w:w="80" w:type="dxa"/>
              <w:start w:w="90" w:type="dxa"/>
              <w:bottom w:w="80" w:type="dxa"/>
              <w:end w:w="90" w:type="dxa"/>
            </w:tcMar>
            <w:vAlign w:val="center"/>
          </w:tcPr>
          <w:p>
            <w:pPr>
              <w:spacing w:after="0" w:line="240" w:lineRule="auto"/>
            </w:pPr>
            <w:r>
              <w:rPr>
                <w:b/>
                <w:color w:val="FFFFFF"/>
                <w:sz w:val="16"/>
              </w:rPr>
              <w:t xml:space="preserve">Holder</w:t>
            </w:r>
          </w:p>
        </w:tc>
        <w:tc>
          <w:tcPr>
            <w:tcW w:type="dxa" w:w="6636"/>
            <w:shd w:val="clear" w:color="auto" w:fill="12304A"/>
            <w:tcMar>
              <w:top w:w="80" w:type="dxa"/>
              <w:start w:w="90" w:type="dxa"/>
              <w:bottom w:w="80" w:type="dxa"/>
              <w:end w:w="90" w:type="dxa"/>
            </w:tcMar>
            <w:vAlign w:val="center"/>
          </w:tcPr>
          <w:p>
            <w:pPr>
              <w:spacing w:after="0" w:line="240" w:lineRule="auto"/>
            </w:pPr>
            <w:r>
              <w:rPr>
                <w:b/>
                <w:color w:val="FFFFFF"/>
                <w:sz w:val="16"/>
              </w:rPr>
              <w:t xml:space="preserve">Suggested approach</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Private client, gain held 12 months or less</w:t>
            </w:r>
          </w:p>
        </w:tc>
        <w:tc>
          <w:tcPr>
            <w:tcW w:type="dxa" w:w="6636"/>
            <w:tcMar>
              <w:top w:w="80" w:type="dxa"/>
              <w:start w:w="90" w:type="dxa"/>
              <w:bottom w:w="80" w:type="dxa"/>
              <w:end w:w="90" w:type="dxa"/>
            </w:tcMar>
            <w:vAlign w:val="center"/>
          </w:tcPr>
          <w:p>
            <w:pPr>
              <w:spacing w:after="0" w:line="240" w:lineRule="auto"/>
            </w:pPr>
            <w:r>
              <w:rPr>
                <w:color w:val="182633"/>
                <w:sz w:val="16"/>
              </w:rPr>
              <w:t xml:space="preserve">Sell, or hold short term with a written exit rule. Compare the tax saved by waiting with the price risk.</w:t>
            </w:r>
          </w:p>
        </w:tc>
      </w:tr>
      <w:tr>
        <w:trPr>
          <w:cantSplit/>
        </w:trPr>
        <w:tc>
          <w:tcPr>
            <w:tcW w:type="dxa" w:w="3300"/>
            <w:shd w:val="clear" w:color="auto" w:fill="F5F7F9"/>
            <w:tcMar>
              <w:top w:w="80" w:type="dxa"/>
              <w:start w:w="90" w:type="dxa"/>
              <w:bottom w:w="80" w:type="dxa"/>
              <w:end w:w="90" w:type="dxa"/>
            </w:tcMar>
            <w:vAlign w:val="center"/>
          </w:tcPr>
          <w:p>
            <w:pPr>
              <w:spacing w:after="0" w:line="240" w:lineRule="auto"/>
            </w:pPr>
            <w:r>
              <w:rPr>
                <w:b/>
                <w:color w:val="12304A"/>
                <w:sz w:val="16"/>
              </w:rPr>
              <w:t xml:space="preserve">Private client, gain held more than 12 months</w:t>
            </w:r>
          </w:p>
        </w:tc>
        <w:tc>
          <w:tcPr>
            <w:tcW w:type="dxa" w:w="6636"/>
            <w:shd w:val="clear" w:color="auto" w:fill="F5F7F9"/>
            <w:tcMar>
              <w:top w:w="80" w:type="dxa"/>
              <w:start w:w="90" w:type="dxa"/>
              <w:bottom w:w="80" w:type="dxa"/>
              <w:end w:w="90" w:type="dxa"/>
            </w:tcMar>
            <w:vAlign w:val="center"/>
          </w:tcPr>
          <w:p>
            <w:pPr>
              <w:spacing w:after="0" w:line="240" w:lineRule="auto"/>
            </w:pPr>
            <w:r>
              <w:rPr>
                <w:color w:val="182633"/>
                <w:sz w:val="16"/>
              </w:rPr>
              <w:t xml:space="preserve">Sell.</w:t>
            </w:r>
          </w:p>
        </w:tc>
      </w:tr>
      <w:tr>
        <w:trPr>
          <w:cantSplit/>
        </w:trPr>
        <w:tc>
          <w:tcPr>
            <w:tcW w:type="dxa" w:w="3300"/>
            <w:tcMar>
              <w:top w:w="80" w:type="dxa"/>
              <w:start w:w="90" w:type="dxa"/>
              <w:bottom w:w="80" w:type="dxa"/>
              <w:end w:w="90" w:type="dxa"/>
            </w:tcMar>
            <w:vAlign w:val="center"/>
          </w:tcPr>
          <w:p>
            <w:pPr>
              <w:spacing w:after="0" w:line="240" w:lineRule="auto"/>
            </w:pPr>
            <w:r>
              <w:rPr>
                <w:b/>
                <w:color w:val="12304A"/>
                <w:sz w:val="16"/>
              </w:rPr>
              <w:t xml:space="preserve">Private client, position &gt;5% of liquid wealth</w:t>
            </w:r>
          </w:p>
        </w:tc>
        <w:tc>
          <w:tcPr>
            <w:tcW w:type="dxa" w:w="6636"/>
            <w:tcMar>
              <w:top w:w="80" w:type="dxa"/>
              <w:start w:w="90" w:type="dxa"/>
              <w:bottom w:w="80" w:type="dxa"/>
              <w:end w:w="90" w:type="dxa"/>
            </w:tcMar>
            <w:vAlign w:val="center"/>
          </w:tcPr>
          <w:p>
            <w:pPr>
              <w:spacing w:after="0" w:line="240" w:lineRule="auto"/>
            </w:pPr>
            <w:r>
              <w:rPr>
                <w:color w:val="182633"/>
                <w:sz w:val="16"/>
              </w:rPr>
              <w:t xml:space="preserve">Sell the oversized part first, whatever the view.</w:t>
            </w:r>
          </w:p>
        </w:tc>
      </w:tr>
      <w:tr>
        <w:trPr>
          <w:cantSplit/>
        </w:trPr>
        <w:tc>
          <w:tcPr>
            <w:tcW w:type="dxa" w:w="3300"/>
            <w:shd w:val="clear" w:color="auto" w:fill="F5F7F9"/>
            <w:tcMar>
              <w:top w:w="80" w:type="dxa"/>
              <w:start w:w="90" w:type="dxa"/>
              <w:bottom w:w="80" w:type="dxa"/>
              <w:end w:w="90" w:type="dxa"/>
            </w:tcMar>
            <w:vAlign w:val="center"/>
          </w:tcPr>
          <w:p>
            <w:pPr>
              <w:spacing w:after="0" w:line="240" w:lineRule="auto"/>
            </w:pPr>
            <w:r>
              <w:rPr>
                <w:b/>
                <w:color w:val="12304A"/>
                <w:sz w:val="16"/>
              </w:rPr>
              <w:t xml:space="preserve">Family office</w:t>
            </w:r>
          </w:p>
        </w:tc>
        <w:tc>
          <w:tcPr>
            <w:tcW w:type="dxa" w:w="6636"/>
            <w:shd w:val="clear" w:color="auto" w:fill="F5F7F9"/>
            <w:tcMar>
              <w:top w:w="80" w:type="dxa"/>
              <w:start w:w="90" w:type="dxa"/>
              <w:bottom w:w="80" w:type="dxa"/>
              <w:end w:w="90" w:type="dxa"/>
            </w:tcMar>
            <w:vAlign w:val="center"/>
          </w:tcPr>
          <w:p>
            <w:pPr>
              <w:spacing w:after="0" w:line="240" w:lineRule="auto"/>
            </w:pPr>
            <w:r>
              <w:rPr>
                <w:color w:val="182633"/>
                <w:sz w:val="16"/>
              </w:rPr>
              <w:t xml:space="preserve">No new investment. Sell existing holdings, or hold short term within the opportunistic-sleeve limit with a written exit rule. Record the rationale for the investment committee. Governance flags (controls, restatements, CFO exit) will fail many policy screens.</w:t>
            </w:r>
          </w:p>
        </w:tc>
      </w:tr>
    </w:tbl>
    <w:p>
      <w:pPr>
        <w:spacing w:after="0"/>
      </w:pPr>
    </w:p>
    <w:p>
      <w:r>
        <w:rPr>
          <w:b/>
        </w:rPr>
        <w:t xml:space="preserve">Turnaround cross-check (Peter Lynch).</w:t>
      </w:r>
      <w:r>
        <w:t xml:space="preserve"> Lynch’s rule, paraphrased: sell a turnaround once it has turned around and everyone knows it. QMCO is up ~372% this year and trades above all published analyst targets [24][26]. Run-rate adjusted earnings give ~63x (Q2 guide) to ~75x (Q1 profit on today’s 39.41M shares) earnings, against ~26%-31% near-term revenue growth [1][5]. That is a growth-stock multiple on a company that has not yet proven sustained growth.</w:t>
      </w:r>
    </w:p>
    <w:tbl>
      <w:tblPr>
        <w:tblW w:type="dxa" w:w="9936"/>
        <w:jc w:val="center"/>
        <w:tblLayout w:type="fixed"/>
        <w:tblLook w:firstColumn="1" w:firstRow="1" w:lastColumn="0" w:lastRow="0" w:noHBand="0" w:noVBand="1" w:val="04A0"/>
      </w:tblPr>
      <w:tblGrid>
        <w:gridCol w:w="9936"/>
      </w:tblGrid>
      <w:tr>
        <w:trPr>
          <w:cantSplit/>
        </w:trPr>
        <w:tc>
          <w:tcPr>
            <w:tcW w:type="dxa" w:w="9936"/>
            <w:shd w:val="clear" w:color="auto" w:fill="E7F4F2"/>
            <w:tcMar>
              <w:top w:w="140" w:type="dxa"/>
              <w:start w:w="180" w:type="dxa"/>
              <w:bottom w:w="140" w:type="dxa"/>
              <w:end w:w="180" w:type="dxa"/>
            </w:tcMar>
          </w:tcPr>
          <w:p>
            <w:pPr>
              <w:spacing w:after="40"/>
            </w:pPr>
            <w:r>
              <w:rPr>
                <w:b/>
                <w:color w:val="117C83"/>
                <w:sz w:val="20"/>
              </w:rPr>
              <w:t xml:space="preserve">Bottom line</w:t>
            </w:r>
          </w:p>
          <w:p>
            <w:pPr>
              <w:spacing w:after="60" w:line="252" w:lineRule="auto"/>
            </w:pPr>
            <w:r>
              <w:rPr>
                <w:sz w:val="18"/>
              </w:rPr>
              <w:t xml:space="preserve">The business is improving, and the new team is promising. But the price already assumes a big, lasting turnaround that the company has not yet proven.</w:t>
            </w:r>
          </w:p>
          <w:p>
            <w:pPr>
              <w:spacing w:after="60" w:line="252" w:lineRule="auto"/>
            </w:pPr>
            <w:r>
              <w:rPr>
                <w:sz w:val="18"/>
              </w:rPr>
              <w:t xml:space="preserve">Too many changes, heavy dilution, weak controls, a pending lawsuit and much larger competitors make the risk too high for the reward. Scenario values and competitor multiples both point below today’s price. The stock is overpriced at about $30. Even without debt, I would sell. A short-term hold is possible only with a written exit rule.</w:t>
            </w:r>
          </w:p>
          <w:p>
            <w:pPr>
              <w:spacing w:after="0" w:line="252" w:lineRule="auto"/>
            </w:pPr>
            <w:r>
              <w:rPr>
                <w:sz w:val="18"/>
              </w:rPr>
              <w:t xml:space="preserve">Price target: Under Review until the next two quarterly reports and updated guidance. I would reconsider buying only after steady results and better trust.</w:t>
            </w:r>
          </w:p>
        </w:tc>
      </w:tr>
    </w:tbl>
    <w:p>
      <w:pPr>
        <w:spacing w:after="0"/>
      </w:pPr>
    </w:p>
    <w:p>
      <w:pPr>
        <w:pStyle w:val="Heading1"/>
        <w:pageBreakBefore/>
      </w:pPr>
      <w:r>
        <w:t xml:space="preserve">Appendix A. Fisher’s 15 points</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900"/>
        <w:gridCol w:w="1000"/>
        <w:gridCol w:w="6036"/>
      </w:tblGrid>
      <w:tr>
        <w:trPr>
          <w:tblHeader/>
          <w:cantSplit/>
        </w:trPr>
        <w:tc>
          <w:tcPr>
            <w:tcW w:type="dxa" w:w="2900"/>
            <w:shd w:val="clear" w:color="auto" w:fill="12304A"/>
            <w:tcMar>
              <w:top w:w="80" w:type="dxa"/>
              <w:start w:w="90" w:type="dxa"/>
              <w:bottom w:w="80" w:type="dxa"/>
              <w:end w:w="90" w:type="dxa"/>
            </w:tcMar>
            <w:vAlign w:val="center"/>
          </w:tcPr>
          <w:p>
            <w:pPr>
              <w:spacing w:after="0" w:line="240" w:lineRule="auto"/>
            </w:pPr>
            <w:r>
              <w:rPr>
                <w:b/>
                <w:color w:val="FFFFFF"/>
                <w:sz w:val="16"/>
              </w:rPr>
              <w:t xml:space="preserve">Point (paraphrased)</w:t>
            </w:r>
          </w:p>
        </w:tc>
        <w:tc>
          <w:tcPr>
            <w:tcW w:type="dxa" w:w="1000"/>
            <w:shd w:val="clear" w:color="auto" w:fill="12304A"/>
            <w:tcMar>
              <w:top w:w="80" w:type="dxa"/>
              <w:start w:w="90" w:type="dxa"/>
              <w:bottom w:w="80" w:type="dxa"/>
              <w:end w:w="90" w:type="dxa"/>
            </w:tcMar>
            <w:vAlign w:val="center"/>
          </w:tcPr>
          <w:p>
            <w:pPr>
              <w:spacing w:after="0" w:line="240" w:lineRule="auto"/>
            </w:pPr>
            <w:r>
              <w:rPr>
                <w:b/>
                <w:color w:val="FFFFFF"/>
                <w:sz w:val="16"/>
              </w:rPr>
              <w:t xml:space="preserve">Verdict</w:t>
            </w:r>
          </w:p>
        </w:tc>
        <w:tc>
          <w:tcPr>
            <w:tcW w:type="dxa" w:w="6036"/>
            <w:shd w:val="clear" w:color="auto" w:fill="12304A"/>
            <w:tcMar>
              <w:top w:w="80" w:type="dxa"/>
              <w:start w:w="90" w:type="dxa"/>
              <w:bottom w:w="80" w:type="dxa"/>
              <w:end w:w="90" w:type="dxa"/>
            </w:tcMar>
            <w:vAlign w:val="center"/>
          </w:tcPr>
          <w:p>
            <w:pPr>
              <w:spacing w:after="0" w:line="240" w:lineRule="auto"/>
            </w:pPr>
            <w:r>
              <w:rPr>
                <w:b/>
                <w:color w:val="FFFFFF"/>
                <w:sz w:val="16"/>
              </w:rPr>
              <w:t xml:space="preserve">Evidence</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1. Market potential for sizable sales growth</w:t>
            </w:r>
          </w:p>
        </w:tc>
        <w:tc>
          <w:tcPr>
            <w:tcW w:type="dxa" w:w="1000"/>
            <w:tcMar>
              <w:top w:w="80" w:type="dxa"/>
              <w:start w:w="90" w:type="dxa"/>
              <w:bottom w:w="80" w:type="dxa"/>
              <w:end w:w="90" w:type="dxa"/>
            </w:tcMar>
            <w:vAlign w:val="center"/>
          </w:tcPr>
          <w:p>
            <w:pPr>
              <w:spacing w:after="0" w:line="240" w:lineRule="auto"/>
            </w:pPr>
            <w:r>
              <w:rPr>
                <w:b/>
                <w:color w:val="A15C00"/>
                <w:sz w:val="16"/>
              </w:rPr>
              <w:t xml:space="preserve">Partial</w:t>
            </w:r>
          </w:p>
        </w:tc>
        <w:tc>
          <w:tcPr>
            <w:tcW w:type="dxa" w:w="6036"/>
            <w:tcMar>
              <w:top w:w="80" w:type="dxa"/>
              <w:start w:w="90" w:type="dxa"/>
              <w:bottom w:w="80" w:type="dxa"/>
              <w:end w:w="90" w:type="dxa"/>
            </w:tcMar>
            <w:vAlign w:val="center"/>
          </w:tcPr>
          <w:p>
            <w:pPr>
              <w:spacing w:after="0" w:line="240" w:lineRule="auto"/>
            </w:pPr>
            <w:r>
              <w:rPr>
                <w:color w:val="182633"/>
                <w:sz w:val="16"/>
              </w:rPr>
              <w:t xml:space="preserve">LTO +57% in Q1 2026; record backlog. But 2025 LTO shipments -9%; Quantum revenue $412.8M (FY23) to $279.6M (FY26) [5][6][7][19]</w:t>
            </w:r>
          </w:p>
        </w:tc>
      </w:tr>
      <w:tr>
        <w:trPr>
          <w:cantSplit/>
        </w:trPr>
        <w:tc>
          <w:tcPr>
            <w:tcW w:type="dxa" w:w="2900"/>
            <w:shd w:val="clear" w:color="auto" w:fill="F5F7F9"/>
            <w:tcMar>
              <w:top w:w="80" w:type="dxa"/>
              <w:start w:w="90" w:type="dxa"/>
              <w:bottom w:w="80" w:type="dxa"/>
              <w:end w:w="90" w:type="dxa"/>
            </w:tcMar>
            <w:vAlign w:val="center"/>
          </w:tcPr>
          <w:p>
            <w:pPr>
              <w:spacing w:after="0" w:line="240" w:lineRule="auto"/>
            </w:pPr>
            <w:r>
              <w:rPr>
                <w:b/>
                <w:color w:val="12304A"/>
                <w:sz w:val="16"/>
              </w:rPr>
              <w:t xml:space="preserve">2. Determination to develop new products</w:t>
            </w:r>
          </w:p>
        </w:tc>
        <w:tc>
          <w:tcPr>
            <w:tcW w:type="dxa" w:w="1000"/>
            <w:shd w:val="clear" w:color="auto" w:fill="F5F7F9"/>
            <w:tcMar>
              <w:top w:w="80" w:type="dxa"/>
              <w:start w:w="90" w:type="dxa"/>
              <w:bottom w:w="80" w:type="dxa"/>
              <w:end w:w="90" w:type="dxa"/>
            </w:tcMar>
            <w:vAlign w:val="center"/>
          </w:tcPr>
          <w:p>
            <w:pPr>
              <w:spacing w:after="0" w:line="240" w:lineRule="auto"/>
            </w:pPr>
            <w:r>
              <w:rPr>
                <w:b/>
                <w:color w:val="A15C00"/>
                <w:sz w:val="16"/>
              </w:rPr>
              <w:t xml:space="preserve">Partial</w:t>
            </w:r>
          </w:p>
        </w:tc>
        <w:tc>
          <w:tcPr>
            <w:tcW w:type="dxa" w:w="6036"/>
            <w:shd w:val="clear" w:color="auto" w:fill="F5F7F9"/>
            <w:tcMar>
              <w:top w:w="80" w:type="dxa"/>
              <w:start w:w="90" w:type="dxa"/>
              <w:bottom w:w="80" w:type="dxa"/>
              <w:end w:w="90" w:type="dxa"/>
            </w:tcMar>
            <w:vAlign w:val="center"/>
          </w:tcPr>
          <w:p>
            <w:pPr>
              <w:spacing w:after="0" w:line="240" w:lineRule="auto"/>
            </w:pPr>
            <w:r>
              <w:rPr>
                <w:color w:val="182633"/>
                <w:sz w:val="16"/>
              </w:rPr>
              <w:t xml:space="preserve">ADM launched Sep. 8, 2026; R&amp;D hiring is the main opex increase. R&amp;D cut 24.5% to $23.5M in FY2026. No ADM revenue data [3][5][37]</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3. Effective R&amp;D for its size</w:t>
            </w:r>
          </w:p>
        </w:tc>
        <w:tc>
          <w:tcPr>
            <w:tcW w:type="dxa" w:w="1000"/>
            <w:tcMar>
              <w:top w:w="80" w:type="dxa"/>
              <w:start w:w="90" w:type="dxa"/>
              <w:bottom w:w="80" w:type="dxa"/>
              <w:end w:w="90" w:type="dxa"/>
            </w:tcMar>
            <w:vAlign w:val="center"/>
          </w:tcPr>
          <w:p>
            <w:pPr>
              <w:spacing w:after="0" w:line="240" w:lineRule="auto"/>
            </w:pPr>
            <w:r>
              <w:rPr>
                <w:b/>
                <w:color w:val="B23A3A"/>
                <w:sz w:val="16"/>
              </w:rPr>
              <w:t xml:space="preserve">Fail</w:t>
            </w:r>
          </w:p>
        </w:tc>
        <w:tc>
          <w:tcPr>
            <w:tcW w:type="dxa" w:w="6036"/>
            <w:tcMar>
              <w:top w:w="80" w:type="dxa"/>
              <w:start w:w="90" w:type="dxa"/>
              <w:bottom w:w="80" w:type="dxa"/>
              <w:end w:w="90" w:type="dxa"/>
            </w:tcMar>
            <w:vAlign w:val="center"/>
          </w:tcPr>
          <w:p>
            <w:pPr>
              <w:spacing w:after="0" w:line="240" w:lineRule="auto"/>
            </w:pPr>
            <w:r>
              <w:rPr>
                <w:color w:val="182633"/>
                <w:sz w:val="16"/>
              </w:rPr>
              <w:t xml:space="preserve">R&amp;D ~8% of revenue vs. far larger rivals. Does not make the tape drive. 166 U.S. patents [3]</w:t>
            </w:r>
          </w:p>
        </w:tc>
      </w:tr>
      <w:tr>
        <w:trPr>
          <w:cantSplit/>
        </w:trPr>
        <w:tc>
          <w:tcPr>
            <w:tcW w:type="dxa" w:w="2900"/>
            <w:shd w:val="clear" w:color="auto" w:fill="F5F7F9"/>
            <w:tcMar>
              <w:top w:w="80" w:type="dxa"/>
              <w:start w:w="90" w:type="dxa"/>
              <w:bottom w:w="80" w:type="dxa"/>
              <w:end w:w="90" w:type="dxa"/>
            </w:tcMar>
            <w:vAlign w:val="center"/>
          </w:tcPr>
          <w:p>
            <w:pPr>
              <w:spacing w:after="0" w:line="240" w:lineRule="auto"/>
            </w:pPr>
            <w:r>
              <w:rPr>
                <w:b/>
                <w:color w:val="12304A"/>
                <w:sz w:val="16"/>
              </w:rPr>
              <w:t xml:space="preserve">4. Above-average sales organization</w:t>
            </w:r>
          </w:p>
        </w:tc>
        <w:tc>
          <w:tcPr>
            <w:tcW w:type="dxa" w:w="1000"/>
            <w:shd w:val="clear" w:color="auto" w:fill="F5F7F9"/>
            <w:tcMar>
              <w:top w:w="80" w:type="dxa"/>
              <w:start w:w="90" w:type="dxa"/>
              <w:bottom w:w="80" w:type="dxa"/>
              <w:end w:w="90" w:type="dxa"/>
            </w:tcMar>
            <w:vAlign w:val="center"/>
          </w:tcPr>
          <w:p>
            <w:pPr>
              <w:spacing w:after="0" w:line="240" w:lineRule="auto"/>
            </w:pPr>
            <w:r>
              <w:rPr>
                <w:b/>
                <w:color w:val="A15C00"/>
                <w:sz w:val="16"/>
              </w:rPr>
              <w:t xml:space="preserve">Partial</w:t>
            </w:r>
          </w:p>
        </w:tc>
        <w:tc>
          <w:tcPr>
            <w:tcW w:type="dxa" w:w="6036"/>
            <w:shd w:val="clear" w:color="auto" w:fill="F5F7F9"/>
            <w:tcMar>
              <w:top w:w="80" w:type="dxa"/>
              <w:start w:w="90" w:type="dxa"/>
              <w:bottom w:w="80" w:type="dxa"/>
              <w:end w:w="90" w:type="dxa"/>
            </w:tcMar>
            <w:vAlign w:val="center"/>
          </w:tcPr>
          <w:p>
            <w:pPr>
              <w:spacing w:after="0" w:line="240" w:lineRule="auto"/>
            </w:pPr>
            <w:r>
              <w:rPr>
                <w:color w:val="182633"/>
                <w:sz w:val="16"/>
              </w:rPr>
              <w:t xml:space="preserve">Q1 beat; deals &gt;$1M rose sharply; Avnet partner; Clancy hire. S&amp;M $52.0M = 18.6% of FY26 revenue for +2% growth [5][6][10]</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5. Worthwhile profit margin</w:t>
            </w:r>
          </w:p>
        </w:tc>
        <w:tc>
          <w:tcPr>
            <w:tcW w:type="dxa" w:w="1000"/>
            <w:tcMar>
              <w:top w:w="80" w:type="dxa"/>
              <w:start w:w="90" w:type="dxa"/>
              <w:bottom w:w="80" w:type="dxa"/>
              <w:end w:w="90" w:type="dxa"/>
            </w:tcMar>
            <w:vAlign w:val="center"/>
          </w:tcPr>
          <w:p>
            <w:pPr>
              <w:spacing w:after="0" w:line="240" w:lineRule="auto"/>
            </w:pPr>
            <w:r>
              <w:rPr>
                <w:b/>
                <w:color w:val="B23A3A"/>
                <w:sz w:val="16"/>
              </w:rPr>
              <w:t xml:space="preserve">Fail</w:t>
            </w:r>
          </w:p>
        </w:tc>
        <w:tc>
          <w:tcPr>
            <w:tcW w:type="dxa" w:w="6036"/>
            <w:tcMar>
              <w:top w:w="80" w:type="dxa"/>
              <w:start w:w="90" w:type="dxa"/>
              <w:bottom w:w="80" w:type="dxa"/>
              <w:end w:w="90" w:type="dxa"/>
            </w:tcMar>
            <w:vAlign w:val="center"/>
          </w:tcPr>
          <w:p>
            <w:pPr>
              <w:spacing w:after="0" w:line="240" w:lineRule="auto"/>
            </w:pPr>
            <w:r>
              <w:rPr>
                <w:color w:val="182633"/>
                <w:sz w:val="16"/>
              </w:rPr>
              <w:t xml:space="preserve">Q1 GAAP operating margin 6.2% vs. 8%-26% for main competitors. FY2026 GAAP net loss $101.0M; operating cash outflow $37.9M [1][6][35]</w:t>
            </w:r>
          </w:p>
        </w:tc>
      </w:tr>
      <w:tr>
        <w:trPr>
          <w:cantSplit/>
        </w:trPr>
        <w:tc>
          <w:tcPr>
            <w:tcW w:type="dxa" w:w="2900"/>
            <w:shd w:val="clear" w:color="auto" w:fill="F5F7F9"/>
            <w:tcMar>
              <w:top w:w="80" w:type="dxa"/>
              <w:start w:w="90" w:type="dxa"/>
              <w:bottom w:w="80" w:type="dxa"/>
              <w:end w:w="90" w:type="dxa"/>
            </w:tcMar>
            <w:vAlign w:val="center"/>
          </w:tcPr>
          <w:p>
            <w:pPr>
              <w:spacing w:after="0" w:line="240" w:lineRule="auto"/>
            </w:pPr>
            <w:r>
              <w:rPr>
                <w:b/>
                <w:color w:val="12304A"/>
                <w:sz w:val="16"/>
              </w:rPr>
              <w:t xml:space="preserve">6. Actions to keep or improve margins</w:t>
            </w:r>
          </w:p>
        </w:tc>
        <w:tc>
          <w:tcPr>
            <w:tcW w:type="dxa" w:w="1000"/>
            <w:shd w:val="clear" w:color="auto" w:fill="F5F7F9"/>
            <w:tcMar>
              <w:top w:w="80" w:type="dxa"/>
              <w:start w:w="90" w:type="dxa"/>
              <w:bottom w:w="80" w:type="dxa"/>
              <w:end w:w="90" w:type="dxa"/>
            </w:tcMar>
            <w:vAlign w:val="center"/>
          </w:tcPr>
          <w:p>
            <w:pPr>
              <w:spacing w:after="0" w:line="240" w:lineRule="auto"/>
            </w:pPr>
            <w:r>
              <w:rPr>
                <w:b/>
                <w:color w:val="A15C00"/>
                <w:sz w:val="16"/>
              </w:rPr>
              <w:t xml:space="preserve">Partial</w:t>
            </w:r>
          </w:p>
        </w:tc>
        <w:tc>
          <w:tcPr>
            <w:tcW w:type="dxa" w:w="6036"/>
            <w:shd w:val="clear" w:color="auto" w:fill="F5F7F9"/>
            <w:tcMar>
              <w:top w:w="80" w:type="dxa"/>
              <w:start w:w="90" w:type="dxa"/>
              <w:bottom w:w="80" w:type="dxa"/>
              <w:end w:w="90" w:type="dxa"/>
            </w:tcMar>
            <w:vAlign w:val="center"/>
          </w:tcPr>
          <w:p>
            <w:pPr>
              <w:spacing w:after="0" w:line="240" w:lineRule="auto"/>
            </w:pPr>
            <w:r>
              <w:rPr>
                <w:color w:val="182633"/>
                <w:sz w:val="16"/>
              </w:rPr>
              <w:t xml:space="preserve">Opex -16% YoY; interest removed. Q2 EBITDA guide steps down; IBM supplier power [5]</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7. Labor and personnel relations</w:t>
            </w:r>
          </w:p>
        </w:tc>
        <w:tc>
          <w:tcPr>
            <w:tcW w:type="dxa" w:w="1000"/>
            <w:tcMar>
              <w:top w:w="80" w:type="dxa"/>
              <w:start w:w="90" w:type="dxa"/>
              <w:bottom w:w="80" w:type="dxa"/>
              <w:end w:w="90" w:type="dxa"/>
            </w:tcMar>
            <w:vAlign w:val="center"/>
          </w:tcPr>
          <w:p>
            <w:pPr>
              <w:spacing w:after="0" w:line="240" w:lineRule="auto"/>
            </w:pPr>
            <w:r>
              <w:rPr>
                <w:b/>
                <w:color w:val="556575"/>
                <w:sz w:val="16"/>
              </w:rPr>
              <w:t xml:space="preserve">Unproven</w:t>
            </w:r>
          </w:p>
        </w:tc>
        <w:tc>
          <w:tcPr>
            <w:tcW w:type="dxa" w:w="6036"/>
            <w:tcMar>
              <w:top w:w="80" w:type="dxa"/>
              <w:start w:w="90" w:type="dxa"/>
              <w:bottom w:w="80" w:type="dxa"/>
              <w:end w:w="90" w:type="dxa"/>
            </w:tcMar>
            <w:vAlign w:val="center"/>
          </w:tcPr>
          <w:p>
            <w:pPr>
              <w:spacing w:after="0" w:line="240" w:lineRule="auto"/>
            </w:pPr>
            <w:r>
              <w:rPr>
                <w:color w:val="182633"/>
                <w:sz w:val="16"/>
              </w:rPr>
              <w:t xml:space="preserve">~490 employees in 18 countries after restructurings. No attrition data found [3]</w:t>
            </w:r>
          </w:p>
        </w:tc>
      </w:tr>
      <w:tr>
        <w:trPr>
          <w:cantSplit/>
        </w:trPr>
        <w:tc>
          <w:tcPr>
            <w:tcW w:type="dxa" w:w="2900"/>
            <w:shd w:val="clear" w:color="auto" w:fill="F5F7F9"/>
            <w:tcMar>
              <w:top w:w="80" w:type="dxa"/>
              <w:start w:w="90" w:type="dxa"/>
              <w:bottom w:w="80" w:type="dxa"/>
              <w:end w:w="90" w:type="dxa"/>
            </w:tcMar>
            <w:vAlign w:val="center"/>
          </w:tcPr>
          <w:p>
            <w:pPr>
              <w:spacing w:after="0" w:line="240" w:lineRule="auto"/>
            </w:pPr>
            <w:r>
              <w:rPr>
                <w:b/>
                <w:color w:val="12304A"/>
                <w:sz w:val="16"/>
              </w:rPr>
              <w:t xml:space="preserve">8. Executive relations</w:t>
            </w:r>
          </w:p>
        </w:tc>
        <w:tc>
          <w:tcPr>
            <w:tcW w:type="dxa" w:w="1000"/>
            <w:shd w:val="clear" w:color="auto" w:fill="F5F7F9"/>
            <w:tcMar>
              <w:top w:w="80" w:type="dxa"/>
              <w:start w:w="90" w:type="dxa"/>
              <w:bottom w:w="80" w:type="dxa"/>
              <w:end w:w="90" w:type="dxa"/>
            </w:tcMar>
            <w:vAlign w:val="center"/>
          </w:tcPr>
          <w:p>
            <w:pPr>
              <w:spacing w:after="0" w:line="240" w:lineRule="auto"/>
            </w:pPr>
            <w:r>
              <w:rPr>
                <w:b/>
                <w:color w:val="B23A3A"/>
                <w:sz w:val="16"/>
              </w:rPr>
              <w:t xml:space="preserve">Fail</w:t>
            </w:r>
          </w:p>
        </w:tc>
        <w:tc>
          <w:tcPr>
            <w:tcW w:type="dxa" w:w="6036"/>
            <w:shd w:val="clear" w:color="auto" w:fill="F5F7F9"/>
            <w:tcMar>
              <w:top w:w="80" w:type="dxa"/>
              <w:start w:w="90" w:type="dxa"/>
              <w:bottom w:w="80" w:type="dxa"/>
              <w:end w:w="90" w:type="dxa"/>
            </w:tcMar>
            <w:vAlign w:val="center"/>
          </w:tcPr>
          <w:p>
            <w:pPr>
              <w:spacing w:after="0" w:line="240" w:lineRule="auto"/>
            </w:pPr>
            <w:r>
              <w:rPr>
                <w:color w:val="182633"/>
                <w:sz w:val="16"/>
              </w:rPr>
              <w:t xml:space="preserve">New CEO (2025); PFO role changed three times since Aug. 2025; CAO replaced; new COO and CIO [4][12][13][15]</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9. Depth of management</w:t>
            </w:r>
          </w:p>
        </w:tc>
        <w:tc>
          <w:tcPr>
            <w:tcW w:type="dxa" w:w="1000"/>
            <w:tcMar>
              <w:top w:w="80" w:type="dxa"/>
              <w:start w:w="90" w:type="dxa"/>
              <w:bottom w:w="80" w:type="dxa"/>
              <w:end w:w="90" w:type="dxa"/>
            </w:tcMar>
            <w:vAlign w:val="center"/>
          </w:tcPr>
          <w:p>
            <w:pPr>
              <w:spacing w:after="0" w:line="240" w:lineRule="auto"/>
            </w:pPr>
            <w:r>
              <w:rPr>
                <w:b/>
                <w:color w:val="B23A3A"/>
                <w:sz w:val="16"/>
              </w:rPr>
              <w:t xml:space="preserve">Fail</w:t>
            </w:r>
          </w:p>
        </w:tc>
        <w:tc>
          <w:tcPr>
            <w:tcW w:type="dxa" w:w="6036"/>
            <w:tcMar>
              <w:top w:w="80" w:type="dxa"/>
              <w:start w:w="90" w:type="dxa"/>
              <w:bottom w:w="80" w:type="dxa"/>
              <w:end w:w="90" w:type="dxa"/>
            </w:tcMar>
            <w:vAlign w:val="center"/>
          </w:tcPr>
          <w:p>
            <w:pPr>
              <w:spacing w:after="0" w:line="240" w:lineRule="auto"/>
            </w:pPr>
            <w:r>
              <w:rPr>
                <w:color w:val="182633"/>
                <w:sz w:val="16"/>
              </w:rPr>
              <w:t xml:space="preserve">Most executives have weeks to ~16 months at Quantum. PFO ~5 weeks when named [4]</w:t>
            </w:r>
          </w:p>
        </w:tc>
      </w:tr>
      <w:tr>
        <w:trPr>
          <w:cantSplit/>
        </w:trPr>
        <w:tc>
          <w:tcPr>
            <w:tcW w:type="dxa" w:w="2900"/>
            <w:shd w:val="clear" w:color="auto" w:fill="F5F7F9"/>
            <w:tcMar>
              <w:top w:w="80" w:type="dxa"/>
              <w:start w:w="90" w:type="dxa"/>
              <w:bottom w:w="80" w:type="dxa"/>
              <w:end w:w="90" w:type="dxa"/>
            </w:tcMar>
            <w:vAlign w:val="center"/>
          </w:tcPr>
          <w:p>
            <w:pPr>
              <w:spacing w:after="0" w:line="240" w:lineRule="auto"/>
            </w:pPr>
            <w:r>
              <w:rPr>
                <w:b/>
                <w:color w:val="12304A"/>
                <w:sz w:val="16"/>
              </w:rPr>
              <w:t xml:space="preserve">10. Cost analysis and accounting controls</w:t>
            </w:r>
          </w:p>
        </w:tc>
        <w:tc>
          <w:tcPr>
            <w:tcW w:type="dxa" w:w="1000"/>
            <w:shd w:val="clear" w:color="auto" w:fill="F5F7F9"/>
            <w:tcMar>
              <w:top w:w="80" w:type="dxa"/>
              <w:start w:w="90" w:type="dxa"/>
              <w:bottom w:w="80" w:type="dxa"/>
              <w:end w:w="90" w:type="dxa"/>
            </w:tcMar>
            <w:vAlign w:val="center"/>
          </w:tcPr>
          <w:p>
            <w:pPr>
              <w:spacing w:after="0" w:line="240" w:lineRule="auto"/>
            </w:pPr>
            <w:r>
              <w:rPr>
                <w:b/>
                <w:color w:val="B23A3A"/>
                <w:sz w:val="16"/>
              </w:rPr>
              <w:t xml:space="preserve">Fail</w:t>
            </w:r>
          </w:p>
        </w:tc>
        <w:tc>
          <w:tcPr>
            <w:tcW w:type="dxa" w:w="6036"/>
            <w:shd w:val="clear" w:color="auto" w:fill="F5F7F9"/>
            <w:tcMar>
              <w:top w:w="80" w:type="dxa"/>
              <w:start w:w="90" w:type="dxa"/>
              <w:bottom w:w="80" w:type="dxa"/>
              <w:end w:w="90" w:type="dxa"/>
            </w:tcMar>
            <w:vAlign w:val="center"/>
          </w:tcPr>
          <w:p>
            <w:pPr>
              <w:spacing w:after="0" w:line="240" w:lineRule="auto"/>
            </w:pPr>
            <w:r>
              <w:rPr>
                <w:color w:val="182633"/>
                <w:sz w:val="16"/>
              </w:rPr>
              <w:t xml:space="preserve">Controls not effective in three straight reports; restatements in May 2024 and Aug. 2025 [2][3][14]</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11. Industry-specific competitive clues</w:t>
            </w:r>
          </w:p>
        </w:tc>
        <w:tc>
          <w:tcPr>
            <w:tcW w:type="dxa" w:w="1000"/>
            <w:tcMar>
              <w:top w:w="80" w:type="dxa"/>
              <w:start w:w="90" w:type="dxa"/>
              <w:bottom w:w="80" w:type="dxa"/>
              <w:end w:w="90" w:type="dxa"/>
            </w:tcMar>
            <w:vAlign w:val="center"/>
          </w:tcPr>
          <w:p>
            <w:pPr>
              <w:spacing w:after="0" w:line="240" w:lineRule="auto"/>
            </w:pPr>
            <w:r>
              <w:rPr>
                <w:b/>
                <w:color w:val="A15C00"/>
                <w:sz w:val="16"/>
              </w:rPr>
              <w:t xml:space="preserve">Partial</w:t>
            </w:r>
          </w:p>
        </w:tc>
        <w:tc>
          <w:tcPr>
            <w:tcW w:type="dxa" w:w="6036"/>
            <w:tcMar>
              <w:top w:w="80" w:type="dxa"/>
              <w:start w:w="90" w:type="dxa"/>
              <w:bottom w:w="80" w:type="dxa"/>
              <w:end w:w="90" w:type="dxa"/>
            </w:tcMar>
            <w:vAlign w:val="center"/>
          </w:tcPr>
          <w:p>
            <w:pPr>
              <w:spacing w:after="0" w:line="240" w:lineRule="auto"/>
            </w:pPr>
            <w:r>
              <w:rPr>
                <w:color w:val="182633"/>
                <w:sz w:val="16"/>
              </w:rPr>
              <w:t xml:space="preserve">LTO royalties; hyperscaler installed base. IBM controls drive supply; sole-source parts; top five customers 27% [3][5]</w:t>
            </w:r>
          </w:p>
        </w:tc>
      </w:tr>
      <w:tr>
        <w:trPr>
          <w:cantSplit/>
        </w:trPr>
        <w:tc>
          <w:tcPr>
            <w:tcW w:type="dxa" w:w="2900"/>
            <w:shd w:val="clear" w:color="auto" w:fill="F5F7F9"/>
            <w:tcMar>
              <w:top w:w="80" w:type="dxa"/>
              <w:start w:w="90" w:type="dxa"/>
              <w:bottom w:w="80" w:type="dxa"/>
              <w:end w:w="90" w:type="dxa"/>
            </w:tcMar>
            <w:vAlign w:val="center"/>
          </w:tcPr>
          <w:p>
            <w:pPr>
              <w:spacing w:after="0" w:line="240" w:lineRule="auto"/>
            </w:pPr>
            <w:r>
              <w:rPr>
                <w:b/>
                <w:color w:val="12304A"/>
                <w:sz w:val="16"/>
              </w:rPr>
              <w:t xml:space="preserve">12. Long-range view of profits</w:t>
            </w:r>
          </w:p>
        </w:tc>
        <w:tc>
          <w:tcPr>
            <w:tcW w:type="dxa" w:w="1000"/>
            <w:shd w:val="clear" w:color="auto" w:fill="F5F7F9"/>
            <w:tcMar>
              <w:top w:w="80" w:type="dxa"/>
              <w:start w:w="90" w:type="dxa"/>
              <w:bottom w:w="80" w:type="dxa"/>
              <w:end w:w="90" w:type="dxa"/>
            </w:tcMar>
            <w:vAlign w:val="center"/>
          </w:tcPr>
          <w:p>
            <w:pPr>
              <w:spacing w:after="0" w:line="240" w:lineRule="auto"/>
            </w:pPr>
            <w:r>
              <w:rPr>
                <w:b/>
                <w:color w:val="A15C00"/>
                <w:sz w:val="16"/>
              </w:rPr>
              <w:t xml:space="preserve">Partial</w:t>
            </w:r>
          </w:p>
        </w:tc>
        <w:tc>
          <w:tcPr>
            <w:tcW w:type="dxa" w:w="6036"/>
            <w:shd w:val="clear" w:color="auto" w:fill="F5F7F9"/>
            <w:tcMar>
              <w:top w:w="80" w:type="dxa"/>
              <w:start w:w="90" w:type="dxa"/>
              <w:bottom w:w="80" w:type="dxa"/>
              <w:end w:w="90" w:type="dxa"/>
            </w:tcMar>
            <w:vAlign w:val="center"/>
          </w:tcPr>
          <w:p>
            <w:pPr>
              <w:spacing w:after="0" w:line="240" w:lineRule="auto"/>
            </w:pPr>
            <w:r>
              <w:rPr>
                <w:color w:val="182633"/>
                <w:sz w:val="16"/>
              </w:rPr>
              <w:t xml:space="preserve">Accepts lower Q2 EBITDA to rebuild R&amp;D. Recent history is survival financing [5]</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13. Growth without heavy dilution</w:t>
            </w:r>
          </w:p>
        </w:tc>
        <w:tc>
          <w:tcPr>
            <w:tcW w:type="dxa" w:w="1000"/>
            <w:tcMar>
              <w:top w:w="80" w:type="dxa"/>
              <w:start w:w="90" w:type="dxa"/>
              <w:bottom w:w="80" w:type="dxa"/>
              <w:end w:w="90" w:type="dxa"/>
            </w:tcMar>
            <w:vAlign w:val="center"/>
          </w:tcPr>
          <w:p>
            <w:pPr>
              <w:spacing w:after="0" w:line="240" w:lineRule="auto"/>
            </w:pPr>
            <w:r>
              <w:rPr>
                <w:b/>
                <w:color w:val="B23A3A"/>
                <w:sz w:val="16"/>
              </w:rPr>
              <w:t xml:space="preserve">Fail</w:t>
            </w:r>
          </w:p>
        </w:tc>
        <w:tc>
          <w:tcPr>
            <w:tcW w:type="dxa" w:w="6036"/>
            <w:tcMar>
              <w:top w:w="80" w:type="dxa"/>
              <w:start w:w="90" w:type="dxa"/>
              <w:bottom w:w="80" w:type="dxa"/>
              <w:end w:w="90" w:type="dxa"/>
            </w:tcMar>
            <w:vAlign w:val="center"/>
          </w:tcPr>
          <w:p>
            <w:pPr>
              <w:spacing w:after="0" w:line="240" w:lineRule="auto"/>
            </w:pPr>
            <w:r>
              <w:rPr>
                <w:color w:val="182633"/>
                <w:sz w:val="16"/>
              </w:rPr>
              <w:t xml:space="preserve">Shares 6.96M to 39.4M in 15 months, via an equity line, a share sale and a note conversion. Commitments $142.6M vs. cash $54.6M. A right of first refusal on new equity is in place [2][8][33]</w:t>
            </w:r>
          </w:p>
        </w:tc>
      </w:tr>
      <w:tr>
        <w:trPr>
          <w:cantSplit/>
        </w:trPr>
        <w:tc>
          <w:tcPr>
            <w:tcW w:type="dxa" w:w="2900"/>
            <w:shd w:val="clear" w:color="auto" w:fill="F5F7F9"/>
            <w:tcMar>
              <w:top w:w="80" w:type="dxa"/>
              <w:start w:w="90" w:type="dxa"/>
              <w:bottom w:w="80" w:type="dxa"/>
              <w:end w:w="90" w:type="dxa"/>
            </w:tcMar>
            <w:vAlign w:val="center"/>
          </w:tcPr>
          <w:p>
            <w:pPr>
              <w:spacing w:after="0" w:line="240" w:lineRule="auto"/>
            </w:pPr>
            <w:r>
              <w:rPr>
                <w:b/>
                <w:color w:val="12304A"/>
                <w:sz w:val="16"/>
              </w:rPr>
              <w:t xml:space="preserve">14. Candor in bad times</w:t>
            </w:r>
          </w:p>
        </w:tc>
        <w:tc>
          <w:tcPr>
            <w:tcW w:type="dxa" w:w="1000"/>
            <w:shd w:val="clear" w:color="auto" w:fill="F5F7F9"/>
            <w:tcMar>
              <w:top w:w="80" w:type="dxa"/>
              <w:start w:w="90" w:type="dxa"/>
              <w:bottom w:w="80" w:type="dxa"/>
              <w:end w:w="90" w:type="dxa"/>
            </w:tcMar>
            <w:vAlign w:val="center"/>
          </w:tcPr>
          <w:p>
            <w:pPr>
              <w:spacing w:after="0" w:line="240" w:lineRule="auto"/>
            </w:pPr>
            <w:r>
              <w:rPr>
                <w:b/>
                <w:color w:val="A15C00"/>
                <w:sz w:val="16"/>
              </w:rPr>
              <w:t xml:space="preserve">Partial</w:t>
            </w:r>
          </w:p>
        </w:tc>
        <w:tc>
          <w:tcPr>
            <w:tcW w:type="dxa" w:w="6036"/>
            <w:shd w:val="clear" w:color="auto" w:fill="F5F7F9"/>
            <w:tcMar>
              <w:top w:w="80" w:type="dxa"/>
              <w:start w:w="90" w:type="dxa"/>
              <w:bottom w:w="80" w:type="dxa"/>
              <w:end w:w="90" w:type="dxa"/>
            </w:tcMar>
            <w:vAlign w:val="center"/>
          </w:tcPr>
          <w:p>
            <w:pPr>
              <w:spacing w:after="0" w:line="240" w:lineRule="auto"/>
            </w:pPr>
            <w:r>
              <w:rPr>
                <w:color w:val="182633"/>
                <w:sz w:val="16"/>
              </w:rPr>
              <w:t xml:space="preserve">No backlog dollars or bookings mix; no reason for CFO exit. Did disclose restatements and pre-announce Q2 [4][5]</w:t>
            </w:r>
          </w:p>
        </w:tc>
      </w:tr>
      <w:tr>
        <w:trPr>
          <w:cantSplit/>
        </w:trPr>
        <w:tc>
          <w:tcPr>
            <w:tcW w:type="dxa" w:w="2900"/>
            <w:tcMar>
              <w:top w:w="80" w:type="dxa"/>
              <w:start w:w="90" w:type="dxa"/>
              <w:bottom w:w="80" w:type="dxa"/>
              <w:end w:w="90" w:type="dxa"/>
            </w:tcMar>
            <w:vAlign w:val="center"/>
          </w:tcPr>
          <w:p>
            <w:pPr>
              <w:spacing w:after="0" w:line="240" w:lineRule="auto"/>
            </w:pPr>
            <w:r>
              <w:rPr>
                <w:b/>
                <w:color w:val="12304A"/>
                <w:sz w:val="16"/>
              </w:rPr>
              <w:t xml:space="preserve">15. Unquestioned integrity</w:t>
            </w:r>
          </w:p>
        </w:tc>
        <w:tc>
          <w:tcPr>
            <w:tcW w:type="dxa" w:w="1000"/>
            <w:tcMar>
              <w:top w:w="80" w:type="dxa"/>
              <w:start w:w="90" w:type="dxa"/>
              <w:bottom w:w="80" w:type="dxa"/>
              <w:end w:w="90" w:type="dxa"/>
            </w:tcMar>
            <w:vAlign w:val="center"/>
          </w:tcPr>
          <w:p>
            <w:pPr>
              <w:spacing w:after="0" w:line="240" w:lineRule="auto"/>
            </w:pPr>
            <w:r>
              <w:rPr>
                <w:b/>
                <w:color w:val="556575"/>
                <w:sz w:val="16"/>
              </w:rPr>
              <w:t xml:space="preserve">Unproven</w:t>
            </w:r>
          </w:p>
        </w:tc>
        <w:tc>
          <w:tcPr>
            <w:tcW w:type="dxa" w:w="6036"/>
            <w:tcMar>
              <w:top w:w="80" w:type="dxa"/>
              <w:start w:w="90" w:type="dxa"/>
              <w:bottom w:w="80" w:type="dxa"/>
              <w:end w:w="90" w:type="dxa"/>
            </w:tcMar>
            <w:vAlign w:val="center"/>
          </w:tcPr>
          <w:p>
            <w:pPr>
              <w:spacing w:after="0" w:line="240" w:lineRule="auto"/>
            </w:pPr>
            <w:r>
              <w:rPr>
                <w:color w:val="182633"/>
                <w:sz w:val="16"/>
              </w:rPr>
              <w:t xml:space="preserve">No finding of wrongdoing; Aug. 2025 8-K: no indication of fraud. Two restatements; pending class action; a director’s fund converted at $5.194 (contract reset) vs. the $9.42 PIPE [2][8][13]</w:t>
            </w:r>
          </w:p>
        </w:tc>
      </w:tr>
    </w:tbl>
    <w:p>
      <w:pPr>
        <w:spacing w:after="0"/>
      </w:pPr>
    </w:p>
    <w:tbl>
      <w:tblPr>
        <w:tblW w:type="dxa" w:w="9936"/>
        <w:jc w:val="center"/>
        <w:tblLayout w:type="fixed"/>
        <w:tblLook w:firstColumn="1" w:firstRow="1" w:lastColumn="0" w:lastRow="0" w:noHBand="0" w:noVBand="1" w:val="04A0"/>
      </w:tblPr>
      <w:tblGrid>
        <w:gridCol w:w="9936"/>
      </w:tblGrid>
      <w:tr>
        <w:trPr>
          <w:cantSplit/>
        </w:trPr>
        <w:tc>
          <w:tcPr>
            <w:tcW w:type="dxa" w:w="9936"/>
            <w:shd w:val="clear" w:color="auto" w:fill="FBEDEA"/>
            <w:tcMar>
              <w:top w:w="140" w:type="dxa"/>
              <w:start w:w="180" w:type="dxa"/>
              <w:bottom w:w="140" w:type="dxa"/>
              <w:end w:w="180" w:type="dxa"/>
            </w:tcMar>
          </w:tcPr>
          <w:p>
            <w:pPr>
              <w:spacing w:after="40"/>
            </w:pPr>
            <w:r>
              <w:rPr>
                <w:b/>
                <w:color w:val="B23A3A"/>
                <w:sz w:val="20"/>
              </w:rPr>
              <w:t xml:space="preserve">Score: 0 pass, 7 partial, 6 fail, 2 unproven</w:t>
            </w:r>
          </w:p>
          <w:p>
            <w:pPr>
              <w:spacing w:after="0" w:line="252" w:lineRule="auto"/>
            </w:pPr>
            <w:r>
              <w:rPr>
                <w:sz w:val="18"/>
              </w:rPr>
              <w:t xml:space="preserve">Points 8, 9, 10 and 15 (executives, depth, controls, integrity) are central to Fisher’s method. QMCO fails or is unproven on all four. That argues for caution: sell, or hold only while watching whether management and controls improve. Scores use public information only; no customer, supplier or employee interviews were done.</w:t>
            </w:r>
          </w:p>
        </w:tc>
      </w:tr>
    </w:tbl>
    <w:p>
      <w:pPr>
        <w:spacing w:after="0"/>
      </w:pPr>
    </w:p>
    <w:p>
      <w:pPr>
        <w:pStyle w:val="Heading1"/>
      </w:pPr>
      <w:r>
        <w:t xml:space="preserve">Appendix B. Key terms in plain language</w:t>
      </w:r>
    </w:p>
    <w:tbl>
      <w:tblPr>
        <w:tblW w:type="dxa" w:w="9936"/>
        <w:jc w:val="center"/>
        <w:tblBorders>
          <w:top w:val="single" w:sz="3" w:space="0" w:color="D7E0E6"/>
          <w:left w:val="single" w:sz="3" w:space="0" w:color="D7E0E6"/>
          <w:bottom w:val="single" w:sz="3" w:space="0" w:color="D7E0E6"/>
          <w:right w:val="single" w:sz="3" w:space="0" w:color="D7E0E6"/>
          <w:insideH w:val="single" w:sz="3" w:space="0" w:color="D7E0E6"/>
          <w:insideV w:val="single" w:sz="3" w:space="0" w:color="D7E0E6"/>
        </w:tblBorders>
        <w:tblLayout w:type="fixed"/>
        <w:tblLook w:firstColumn="1" w:firstRow="1" w:lastColumn="0" w:lastRow="0" w:noHBand="0" w:noVBand="1" w:val="04A0"/>
      </w:tblPr>
      <w:tblGrid>
        <w:gridCol w:w="2600"/>
        <w:gridCol w:w="7336"/>
      </w:tblGrid>
      <w:tr>
        <w:trPr>
          <w:tblHeader/>
          <w:cantSplit/>
        </w:trPr>
        <w:tc>
          <w:tcPr>
            <w:tcW w:type="dxa" w:w="2600"/>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Term</w:t>
            </w:r>
          </w:p>
        </w:tc>
        <w:tc>
          <w:tcPr>
            <w:tcW w:type="dxa" w:w="7336"/>
            <w:shd w:val="clear" w:color="auto" w:fill="12304A"/>
            <w:tcMar>
              <w:top w:w="80" w:type="dxa"/>
              <w:start w:w="90" w:type="dxa"/>
              <w:bottom w:w="80" w:type="dxa"/>
              <w:end w:w="90" w:type="dxa"/>
            </w:tcMar>
            <w:vAlign w:val="center"/>
          </w:tcPr>
          <w:p>
            <w:pPr>
              <w:keepNext/>
              <w:spacing w:after="0" w:line="240" w:lineRule="auto"/>
            </w:pPr>
            <w:r>
              <w:rPr>
                <w:b/>
                <w:color w:val="FFFFFF"/>
                <w:sz w:val="16"/>
              </w:rPr>
              <w:t xml:space="preserve">Meaning</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GAAP</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The official US accounting rules. GAAP figures are the formal reported numbers.</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Adjusted EBITDA</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Profit before interest, taxes, depreciation and some one-off or noncash costs. A rough view of cash earnings. The company defines it, so it is not a GAAP figure.</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Enterprise value (EV)</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Market value of the shares, plus debt, minus cash. Roughly the price to buy the whole business.</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EV / Sales, EV / EBITDA</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Enterprise value divided by revenue or by EBITDA. Lower means cheaper for each dollar of sales or cash profit.</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Market-implied expectations</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Instead of guessing a value, ask what growth and profit the current price already assumes.</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Discount rate (WACC)</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The yearly return investors demand. A higher rate means future profits are worth less today.</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Forward P/E</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Share price divided by expected earnings per share for the next year.</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Run-rate</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A recent quarter’s figure multiplied by four to estimate a full year.</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Price target: Under Review</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No target is set for now. One will be set when key information arrives.</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Dilution</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When a company issues new shares, each existing share owns a smaller part of the company.</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PIPE</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A private sale of new shares to selected investors.</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Convertible note</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A loan the lender can swap for shares at a set price.</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Equity line (SEPA)</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An agreement that lets the company sell new shares to an investor over time.</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Internal controls (ICFR)</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The company’s own checks that keep its financial reports accurate. “Not effective” means weaknesses serious enough that errors could slip through.</w:t>
            </w:r>
          </w:p>
        </w:tc>
      </w:tr>
      <w:tr>
        <w:trPr>
          <w:cantSplit/>
        </w:trPr>
        <w:tc>
          <w:tcPr>
            <w:tcW w:type="dxa" w:w="2600"/>
            <w:tcMar>
              <w:top w:w="80" w:type="dxa"/>
              <w:start w:w="90" w:type="dxa"/>
              <w:bottom w:w="80" w:type="dxa"/>
              <w:end w:w="90" w:type="dxa"/>
            </w:tcMar>
            <w:vAlign w:val="center"/>
          </w:tcPr>
          <w:p>
            <w:pPr>
              <w:keepNext/>
              <w:spacing w:after="0" w:line="240" w:lineRule="auto"/>
            </w:pPr>
            <w:r>
              <w:rPr>
                <w:b/>
                <w:color w:val="12304A"/>
                <w:sz w:val="16"/>
              </w:rPr>
              <w:t xml:space="preserve">Restatement</w:t>
            </w:r>
          </w:p>
        </w:tc>
        <w:tc>
          <w:tcPr>
            <w:tcW w:type="dxa" w:w="7336"/>
            <w:tcMar>
              <w:top w:w="80" w:type="dxa"/>
              <w:start w:w="90" w:type="dxa"/>
              <w:bottom w:w="80" w:type="dxa"/>
              <w:end w:w="90" w:type="dxa"/>
            </w:tcMar>
            <w:vAlign w:val="center"/>
          </w:tcPr>
          <w:p>
            <w:pPr>
              <w:keepNext/>
              <w:spacing w:after="0" w:line="240" w:lineRule="auto"/>
            </w:pPr>
            <w:r>
              <w:rPr>
                <w:color w:val="182633"/>
                <w:sz w:val="16"/>
              </w:rPr>
              <w:t xml:space="preserve">Correcting financial statements that were already published because they were wrong.</w:t>
            </w:r>
          </w:p>
        </w:tc>
      </w:tr>
      <w:tr>
        <w:trPr>
          <w:cantSplit/>
        </w:trPr>
        <w:tc>
          <w:tcPr>
            <w:tcW w:type="dxa" w:w="2600"/>
            <w:shd w:val="clear" w:color="auto" w:fill="F5F7F9"/>
            <w:tcMar>
              <w:top w:w="80" w:type="dxa"/>
              <w:start w:w="90" w:type="dxa"/>
              <w:bottom w:w="80" w:type="dxa"/>
              <w:end w:w="90" w:type="dxa"/>
            </w:tcMar>
            <w:vAlign w:val="center"/>
          </w:tcPr>
          <w:p>
            <w:pPr>
              <w:keepNext/>
              <w:spacing w:after="0" w:line="240" w:lineRule="auto"/>
            </w:pPr>
            <w:r>
              <w:rPr>
                <w:b/>
                <w:color w:val="12304A"/>
                <w:sz w:val="16"/>
              </w:rPr>
              <w:t xml:space="preserve">Exabyte (EB)</w:t>
            </w:r>
          </w:p>
        </w:tc>
        <w:tc>
          <w:tcPr>
            <w:tcW w:type="dxa" w:w="7336"/>
            <w:shd w:val="clear" w:color="auto" w:fill="F5F7F9"/>
            <w:tcMar>
              <w:top w:w="80" w:type="dxa"/>
              <w:start w:w="90" w:type="dxa"/>
              <w:bottom w:w="80" w:type="dxa"/>
              <w:end w:w="90" w:type="dxa"/>
            </w:tcMar>
            <w:vAlign w:val="center"/>
          </w:tcPr>
          <w:p>
            <w:pPr>
              <w:keepNext/>
              <w:spacing w:after="0" w:line="240" w:lineRule="auto"/>
            </w:pPr>
            <w:r>
              <w:rPr>
                <w:color w:val="182633"/>
                <w:sz w:val="16"/>
              </w:rPr>
              <w:t xml:space="preserve">One billion gigabytes. Used to measure tape capacity shipped.</w:t>
            </w:r>
          </w:p>
        </w:tc>
      </w:tr>
      <w:tr>
        <w:trPr>
          <w:cantSplit/>
        </w:trPr>
        <w:tc>
          <w:tcPr>
            <w:tcW w:type="dxa" w:w="2600"/>
            <w:tcMar>
              <w:top w:w="80" w:type="dxa"/>
              <w:start w:w="90" w:type="dxa"/>
              <w:bottom w:w="80" w:type="dxa"/>
              <w:end w:w="90" w:type="dxa"/>
            </w:tcMar>
            <w:vAlign w:val="center"/>
          </w:tcPr>
          <w:p>
            <w:pPr>
              <w:spacing w:after="0" w:line="240" w:lineRule="auto"/>
            </w:pPr>
            <w:r>
              <w:rPr>
                <w:b/>
                <w:color w:val="12304A"/>
                <w:sz w:val="16"/>
              </w:rPr>
              <w:t xml:space="preserve">Short interest / float</w:t>
            </w:r>
          </w:p>
        </w:tc>
        <w:tc>
          <w:tcPr>
            <w:tcW w:type="dxa" w:w="7336"/>
            <w:tcMar>
              <w:top w:w="80" w:type="dxa"/>
              <w:start w:w="90" w:type="dxa"/>
              <w:bottom w:w="80" w:type="dxa"/>
              <w:end w:w="90" w:type="dxa"/>
            </w:tcMar>
            <w:vAlign w:val="center"/>
          </w:tcPr>
          <w:p>
            <w:pPr>
              <w:spacing w:after="0" w:line="240" w:lineRule="auto"/>
            </w:pPr>
            <w:r>
              <w:rPr>
                <w:color w:val="182633"/>
                <w:sz w:val="16"/>
              </w:rPr>
              <w:t xml:space="preserve">Shares sold short by investors who expect a fall / shares available to trade freely.</w:t>
            </w:r>
          </w:p>
        </w:tc>
      </w:tr>
    </w:tbl>
    <w:p>
      <w:pPr>
        <w:spacing w:after="0"/>
      </w:pPr>
    </w:p>
    <w:p>
      <w:pPr>
        <w:pStyle w:val="Heading1"/>
      </w:pPr>
      <w:r>
        <w:t xml:space="preserve">Sources and disclosures</w:t>
      </w:r>
    </w:p>
    <w:p>
      <w:pPr>
        <w:pStyle w:val="SmallNote"/>
        <w:spacing w:after="20"/>
      </w:pPr>
      <w:r>
        <w:rPr>
          <w:b/>
        </w:rPr>
        <w:t xml:space="preserve">[1] </w:t>
      </w:r>
      <w:r>
        <w:t xml:space="preserve">Quantum Corporation, “Reports Fiscal First Quarter 2027 Financial Results”. Aug. 10, 2026. </w:t>
      </w:r>
      <w:hyperlink r:id="rId100">
        <w:r>
          <w:rPr>
            <w:color w:val="117C83"/>
            <w:u w:val="single"/>
          </w:rPr>
          <w:t>Link</w:t>
        </w:r>
      </w:hyperlink>
    </w:p>
    <w:p>
      <w:pPr>
        <w:pStyle w:val="SmallNote"/>
        <w:spacing w:after="20"/>
      </w:pPr>
      <w:r>
        <w:rPr>
          <w:b/>
        </w:rPr>
        <w:t xml:space="preserve">[2] </w:t>
      </w:r>
      <w:r>
        <w:t xml:space="preserve">Quantum Corporation, Form 10-Q, quarter ended June 30, 2026. </w:t>
      </w:r>
      <w:hyperlink r:id="rId101">
        <w:r>
          <w:rPr>
            <w:color w:val="117C83"/>
            <w:u w:val="single"/>
          </w:rPr>
          <w:t>Link</w:t>
        </w:r>
      </w:hyperlink>
    </w:p>
    <w:p>
      <w:pPr>
        <w:pStyle w:val="SmallNote"/>
        <w:spacing w:after="20"/>
      </w:pPr>
      <w:r>
        <w:rPr>
          <w:b/>
        </w:rPr>
        <w:t xml:space="preserve">[3] </w:t>
      </w:r>
      <w:r>
        <w:t xml:space="preserve">Quantum Corporation, Form 10-K, fiscal year ended March 31, 2026. </w:t>
      </w:r>
      <w:hyperlink r:id="rId102">
        <w:r>
          <w:rPr>
            <w:color w:val="117C83"/>
            <w:u w:val="single"/>
          </w:rPr>
          <w:t>Link</w:t>
        </w:r>
      </w:hyperlink>
    </w:p>
    <w:p>
      <w:pPr>
        <w:pStyle w:val="SmallNote"/>
        <w:spacing w:after="20"/>
      </w:pPr>
      <w:r>
        <w:rPr>
          <w:b/>
        </w:rPr>
        <w:t xml:space="preserve">[4] </w:t>
      </w:r>
      <w:r>
        <w:t xml:space="preserve">Quantum Corporation, Form 8-K (CFO termination; PFO appointment; preliminary Q2 statement). Oct. 9, 2026. </w:t>
      </w:r>
      <w:hyperlink r:id="rId103">
        <w:r>
          <w:rPr>
            <w:color w:val="117C83"/>
            <w:u w:val="single"/>
          </w:rPr>
          <w:t>Link</w:t>
        </w:r>
      </w:hyperlink>
    </w:p>
    <w:p>
      <w:pPr>
        <w:pStyle w:val="SmallNote"/>
        <w:spacing w:after="20"/>
      </w:pPr>
      <w:r>
        <w:rPr>
          <w:b/>
        </w:rPr>
        <w:t xml:space="preserve">[5] </w:t>
      </w:r>
      <w:r>
        <w:t xml:space="preserve">Quantum Corporation, Q1 FY2027 earnings call transcript (The Motley Fool). Aug. 2026. </w:t>
      </w:r>
      <w:hyperlink r:id="rId104">
        <w:r>
          <w:rPr>
            <w:color w:val="117C83"/>
            <w:u w:val="single"/>
          </w:rPr>
          <w:t>Link</w:t>
        </w:r>
      </w:hyperlink>
    </w:p>
    <w:p>
      <w:pPr>
        <w:pStyle w:val="SmallNote"/>
        <w:spacing w:after="20"/>
      </w:pPr>
      <w:r>
        <w:rPr>
          <w:b/>
        </w:rPr>
        <w:t xml:space="preserve">[6] </w:t>
      </w:r>
      <w:r>
        <w:t xml:space="preserve">Quantum Corporation, fiscal Q4 and full-year 2026 results (8-K Ex. 99.1). </w:t>
      </w:r>
      <w:hyperlink r:id="rId105">
        <w:r>
          <w:rPr>
            <w:color w:val="117C83"/>
            <w:u w:val="single"/>
          </w:rPr>
          <w:t>Link</w:t>
        </w:r>
      </w:hyperlink>
    </w:p>
    <w:p>
      <w:pPr>
        <w:pStyle w:val="SmallNote"/>
        <w:spacing w:after="20"/>
      </w:pPr>
      <w:r>
        <w:rPr>
          <w:b/>
        </w:rPr>
        <w:t xml:space="preserve">[7] </w:t>
      </w:r>
      <w:r>
        <w:t xml:space="preserve">Quantum Corporation, fourth-quarter and fiscal 2023 results. Jun. 2023. </w:t>
      </w:r>
      <w:hyperlink r:id="rId106">
        <w:r>
          <w:rPr>
            <w:color w:val="117C83"/>
            <w:u w:val="single"/>
          </w:rPr>
          <w:t>Link</w:t>
        </w:r>
      </w:hyperlink>
    </w:p>
    <w:p>
      <w:pPr>
        <w:pStyle w:val="SmallNote"/>
        <w:spacing w:after="20"/>
      </w:pPr>
      <w:r>
        <w:rPr>
          <w:b/>
        </w:rPr>
        <w:t xml:space="preserve">[8] </w:t>
      </w:r>
      <w:r>
        <w:t xml:space="preserve">Quantum Corporation, “Announces Equity Financing to Strengthen Balance Sheet”. Jun. 2, 2026. </w:t>
      </w:r>
      <w:hyperlink r:id="rId107">
        <w:r>
          <w:rPr>
            <w:color w:val="117C83"/>
            <w:u w:val="single"/>
          </w:rPr>
          <w:t>Link</w:t>
        </w:r>
      </w:hyperlink>
    </w:p>
    <w:p>
      <w:pPr>
        <w:pStyle w:val="SmallNote"/>
        <w:spacing w:after="20"/>
      </w:pPr>
      <w:r>
        <w:rPr>
          <w:b/>
        </w:rPr>
        <w:t xml:space="preserve">[9] </w:t>
      </w:r>
      <w:r>
        <w:t xml:space="preserve">Quantum Corporation, Rule 424(b)(3) resale prospectus. Jul. 2026. </w:t>
      </w:r>
      <w:hyperlink r:id="rId108">
        <w:r>
          <w:rPr>
            <w:color w:val="117C83"/>
            <w:u w:val="single"/>
          </w:rPr>
          <w:t>Link</w:t>
        </w:r>
      </w:hyperlink>
    </w:p>
    <w:p>
      <w:pPr>
        <w:pStyle w:val="SmallNote"/>
        <w:spacing w:after="20"/>
      </w:pPr>
      <w:r>
        <w:rPr>
          <w:b/>
        </w:rPr>
        <w:t xml:space="preserve">[10] </w:t>
      </w:r>
      <w:r>
        <w:t xml:space="preserve">Quantum Corporation, Form 8-K (James C. Clancy appointed COO). Sep. 28, 2026. </w:t>
      </w:r>
      <w:hyperlink r:id="rId109">
        <w:r>
          <w:rPr>
            <w:color w:val="117C83"/>
            <w:u w:val="single"/>
          </w:rPr>
          <w:t>Link</w:t>
        </w:r>
      </w:hyperlink>
    </w:p>
    <w:p>
      <w:pPr>
        <w:pStyle w:val="SmallNote"/>
        <w:spacing w:after="20"/>
      </w:pPr>
      <w:r>
        <w:rPr>
          <w:b/>
        </w:rPr>
        <w:t xml:space="preserve">[11] </w:t>
      </w:r>
      <w:r>
        <w:t xml:space="preserve">StorageNewsletter, “Quantum Appoints Mike Heuer as Chief Information Officer”. Sep. 2026. </w:t>
      </w:r>
      <w:hyperlink r:id="rId110">
        <w:r>
          <w:rPr>
            <w:color w:val="117C83"/>
            <w:u w:val="single"/>
          </w:rPr>
          <w:t>Link</w:t>
        </w:r>
      </w:hyperlink>
    </w:p>
    <w:p>
      <w:pPr>
        <w:pStyle w:val="SmallNote"/>
        <w:spacing w:after="20"/>
      </w:pPr>
      <w:r>
        <w:rPr>
          <w:b/>
        </w:rPr>
        <w:t xml:space="preserve">[12] </w:t>
      </w:r>
      <w:r>
        <w:t xml:space="preserve">Quantum Corporation, CFO appointment of William H. White (8-K Ex. 99.1). Feb. 2, 2026. </w:t>
      </w:r>
      <w:hyperlink r:id="rId111">
        <w:r>
          <w:rPr>
            <w:color w:val="117C83"/>
            <w:u w:val="single"/>
          </w:rPr>
          <w:t>Link</w:t>
        </w:r>
      </w:hyperlink>
    </w:p>
    <w:p>
      <w:pPr>
        <w:pStyle w:val="SmallNote"/>
        <w:spacing w:after="20"/>
      </w:pPr>
      <w:r>
        <w:rPr>
          <w:b/>
        </w:rPr>
        <w:t xml:space="preserve">[13] </w:t>
      </w:r>
      <w:r>
        <w:t xml:space="preserve">Quantum Corporation, Form 8-K (CFO Lewis W. Moorehead resignation). Aug. 2025. </w:t>
      </w:r>
      <w:hyperlink r:id="rId112">
        <w:r>
          <w:rPr>
            <w:color w:val="117C83"/>
            <w:u w:val="single"/>
          </w:rPr>
          <w:t>Link</w:t>
        </w:r>
      </w:hyperlink>
    </w:p>
    <w:p>
      <w:pPr>
        <w:pStyle w:val="SmallNote"/>
        <w:spacing w:after="20"/>
      </w:pPr>
      <w:r>
        <w:rPr>
          <w:b/>
        </w:rPr>
        <w:t xml:space="preserve">[14] </w:t>
      </w:r>
      <w:r>
        <w:t xml:space="preserve">Quantum Corporation, Form 8-K (non-reliance on Q3 FY2025 statements). Aug. 8, 2025. </w:t>
      </w:r>
      <w:hyperlink r:id="rId113">
        <w:r>
          <w:rPr>
            <w:color w:val="117C83"/>
            <w:u w:val="single"/>
          </w:rPr>
          <w:t>Link</w:t>
        </w:r>
      </w:hyperlink>
    </w:p>
    <w:p>
      <w:pPr>
        <w:pStyle w:val="SmallNote"/>
        <w:spacing w:after="20"/>
      </w:pPr>
      <w:r>
        <w:rPr>
          <w:b/>
        </w:rPr>
        <w:t xml:space="preserve">[15] </w:t>
      </w:r>
      <w:r>
        <w:t xml:space="preserve">Quantum Corporation, “Announces Leadership Changes” (8-K Ex. 99.1). Jun. 2, 2025. </w:t>
      </w:r>
      <w:hyperlink r:id="rId114">
        <w:r>
          <w:rPr>
            <w:color w:val="117C83"/>
            <w:u w:val="single"/>
          </w:rPr>
          <w:t>Link</w:t>
        </w:r>
      </w:hyperlink>
    </w:p>
    <w:p>
      <w:pPr>
        <w:pStyle w:val="SmallNote"/>
        <w:spacing w:after="20"/>
      </w:pPr>
      <w:r>
        <w:rPr>
          <w:b/>
        </w:rPr>
        <w:t xml:space="preserve">[16] </w:t>
      </w:r>
      <w:r>
        <w:t xml:space="preserve">Blocks &amp; Files, “Why did Hugues Meyrath come back to Quantum?” Oct. 10, 2025. </w:t>
      </w:r>
      <w:hyperlink r:id="rId115">
        <w:r>
          <w:rPr>
            <w:color w:val="117C83"/>
            <w:u w:val="single"/>
          </w:rPr>
          <w:t>Link</w:t>
        </w:r>
      </w:hyperlink>
    </w:p>
    <w:p>
      <w:pPr>
        <w:pStyle w:val="SmallNote"/>
        <w:spacing w:after="20"/>
      </w:pPr>
      <w:r>
        <w:rPr>
          <w:b/>
        </w:rPr>
        <w:t xml:space="preserve">[17] </w:t>
      </w:r>
      <w:r>
        <w:t xml:space="preserve">Quantum Corporation, Dialectic purchase of $51M of term debt (Business Wire). Apr. 2025. </w:t>
      </w:r>
      <w:hyperlink r:id="rId116">
        <w:r>
          <w:rPr>
            <w:color w:val="117C83"/>
            <w:u w:val="single"/>
          </w:rPr>
          <w:t>Link</w:t>
        </w:r>
      </w:hyperlink>
    </w:p>
    <w:p>
      <w:pPr>
        <w:pStyle w:val="SmallNote"/>
        <w:spacing w:after="20"/>
      </w:pPr>
      <w:r>
        <w:rPr>
          <w:b/>
        </w:rPr>
        <w:t xml:space="preserve">[18] </w:t>
      </w:r>
      <w:r>
        <w:t xml:space="preserve">Schedule 13D/A (Amendment No. 3), Dialectic Technology SPV LLC and John Fichthorn. Jun. 8, 2026. </w:t>
      </w:r>
      <w:hyperlink r:id="rId117">
        <w:r>
          <w:rPr>
            <w:color w:val="117C83"/>
            <w:u w:val="single"/>
          </w:rPr>
          <w:t>Link</w:t>
        </w:r>
      </w:hyperlink>
    </w:p>
    <w:p>
      <w:pPr>
        <w:pStyle w:val="SmallNote"/>
        <w:spacing w:after="20"/>
      </w:pPr>
      <w:r>
        <w:rPr>
          <w:b/>
        </w:rPr>
        <w:t xml:space="preserve">[19] </w:t>
      </w:r>
      <w:r>
        <w:t xml:space="preserve">Blocks &amp; Files, LTO capacity shipments. Sep. 4, 2026. </w:t>
      </w:r>
      <w:hyperlink r:id="rId118">
        <w:r>
          <w:rPr>
            <w:color w:val="117C83"/>
            <w:u w:val="single"/>
          </w:rPr>
          <w:t>Link</w:t>
        </w:r>
      </w:hyperlink>
    </w:p>
    <w:p>
      <w:pPr>
        <w:pStyle w:val="SmallNote"/>
        <w:spacing w:after="20"/>
      </w:pPr>
      <w:r>
        <w:rPr>
          <w:b/>
        </w:rPr>
        <w:t xml:space="preserve">[20] </w:t>
      </w:r>
      <w:r>
        <w:t xml:space="preserve">heise online, IBM as the last manufacturer of LTO drives. </w:t>
      </w:r>
      <w:hyperlink r:id="rId119">
        <w:r>
          <w:rPr>
            <w:color w:val="117C83"/>
            <w:u w:val="single"/>
          </w:rPr>
          <w:t>Link</w:t>
        </w:r>
      </w:hyperlink>
    </w:p>
    <w:p>
      <w:pPr>
        <w:pStyle w:val="SmallNote"/>
        <w:spacing w:after="20"/>
      </w:pPr>
      <w:r>
        <w:rPr>
          <w:b/>
        </w:rPr>
        <w:t xml:space="preserve">[21] </w:t>
      </w:r>
      <w:r>
        <w:t xml:space="preserve">Blocks &amp; Files, IBM Diamondback tape library. Oct. 20, 2022. </w:t>
      </w:r>
      <w:hyperlink r:id="rId120">
        <w:r>
          <w:rPr>
            <w:color w:val="117C83"/>
            <w:u w:val="single"/>
          </w:rPr>
          <w:t>Link</w:t>
        </w:r>
      </w:hyperlink>
    </w:p>
    <w:p>
      <w:pPr>
        <w:pStyle w:val="SmallNote"/>
        <w:spacing w:after="20"/>
      </w:pPr>
      <w:r>
        <w:rPr>
          <w:b/>
        </w:rPr>
        <w:t xml:space="preserve">[22] </w:t>
      </w:r>
      <w:r>
        <w:t xml:space="preserve">Spendark, S3 storage class pricing (AWS list prices). Aug. 8, 2026. </w:t>
      </w:r>
      <w:hyperlink r:id="rId121">
        <w:r>
          <w:rPr>
            <w:color w:val="117C83"/>
            <w:u w:val="single"/>
          </w:rPr>
          <w:t>Link</w:t>
        </w:r>
      </w:hyperlink>
    </w:p>
    <w:p>
      <w:pPr>
        <w:pStyle w:val="SmallNote"/>
        <w:spacing w:after="20"/>
      </w:pPr>
      <w:r>
        <w:rPr>
          <w:b/>
        </w:rPr>
        <w:t xml:space="preserve">[23] </w:t>
      </w:r>
      <w:r>
        <w:t xml:space="preserve">StockAnalysis, QMCO market capitalization and enterprise value. Observed Oct. 9, 2026. </w:t>
      </w:r>
      <w:hyperlink r:id="rId122">
        <w:r>
          <w:rPr>
            <w:color w:val="117C83"/>
            <w:u w:val="single"/>
          </w:rPr>
          <w:t>Link</w:t>
        </w:r>
      </w:hyperlink>
    </w:p>
    <w:p>
      <w:pPr>
        <w:pStyle w:val="SmallNote"/>
        <w:spacing w:after="20"/>
      </w:pPr>
      <w:r>
        <w:rPr>
          <w:b/>
        </w:rPr>
        <w:t xml:space="preserve">[24] </w:t>
      </w:r>
      <w:r>
        <w:t xml:space="preserve">StockAnalysis, QMCO overview (52-week range, forward P/E, analyst target). Observed Oct. 10, 2026. </w:t>
      </w:r>
      <w:hyperlink r:id="rId123">
        <w:r>
          <w:rPr>
            <w:color w:val="117C83"/>
            <w:u w:val="single"/>
          </w:rPr>
          <w:t>Link</w:t>
        </w:r>
      </w:hyperlink>
    </w:p>
    <w:p>
      <w:pPr>
        <w:pStyle w:val="SmallNote"/>
        <w:spacing w:after="20"/>
      </w:pPr>
      <w:r>
        <w:rPr>
          <w:b/>
        </w:rPr>
        <w:t xml:space="preserve">[25] </w:t>
      </w:r>
      <w:r>
        <w:t xml:space="preserve">MarketBeat, “Quantum Leaps: Debt-Free as AI Storage Demand Accelerates”. Aug. 14, 2026. </w:t>
      </w:r>
      <w:hyperlink r:id="rId124">
        <w:r>
          <w:rPr>
            <w:color w:val="117C83"/>
            <w:u w:val="single"/>
          </w:rPr>
          <w:t>Link</w:t>
        </w:r>
      </w:hyperlink>
    </w:p>
    <w:p>
      <w:pPr>
        <w:pStyle w:val="SmallNote"/>
        <w:spacing w:after="20"/>
      </w:pPr>
      <w:r>
        <w:rPr>
          <w:b/>
        </w:rPr>
        <w:t xml:space="preserve">[26] </w:t>
      </w:r>
      <w:r>
        <w:t xml:space="preserve">GuruFocus, QMCO expects to meet or exceed guidance (headline says Q3; this is fiscal Q2). Oct. 9, 2026. </w:t>
      </w:r>
      <w:hyperlink r:id="rId125">
        <w:r>
          <w:rPr>
            <w:color w:val="117C83"/>
            <w:u w:val="single"/>
          </w:rPr>
          <w:t>Link</w:t>
        </w:r>
      </w:hyperlink>
    </w:p>
    <w:p>
      <w:pPr>
        <w:pStyle w:val="SmallNote"/>
        <w:spacing w:after="20"/>
      </w:pPr>
      <w:r>
        <w:rPr>
          <w:b/>
        </w:rPr>
        <w:t xml:space="preserve">[27] </w:t>
      </w:r>
      <w:r>
        <w:t xml:space="preserve">Equibles, QMCO short interest (FINRA), settlement Sep. 30, 2026. </w:t>
      </w:r>
      <w:hyperlink r:id="rId126">
        <w:r>
          <w:rPr>
            <w:color w:val="117C83"/>
            <w:u w:val="single"/>
          </w:rPr>
          <w:t>Link</w:t>
        </w:r>
      </w:hyperlink>
    </w:p>
    <w:p>
      <w:pPr>
        <w:pStyle w:val="SmallNote"/>
        <w:spacing w:after="20"/>
      </w:pPr>
      <w:r>
        <w:rPr>
          <w:b/>
        </w:rPr>
        <w:t xml:space="preserve">[28] </w:t>
      </w:r>
      <w:r>
        <w:t xml:space="preserve">InsiderTrades, QMCO insider transactions. Observed Oct. 2026. </w:t>
      </w:r>
      <w:hyperlink r:id="rId127">
        <w:r>
          <w:rPr>
            <w:color w:val="117C83"/>
            <w:u w:val="single"/>
          </w:rPr>
          <w:t>Link</w:t>
        </w:r>
      </w:hyperlink>
    </w:p>
    <w:p>
      <w:pPr>
        <w:pStyle w:val="SmallNote"/>
        <w:spacing w:after="20"/>
      </w:pPr>
      <w:r>
        <w:rPr>
          <w:b/>
        </w:rPr>
        <w:t xml:space="preserve">[29] </w:t>
      </w:r>
      <w:r>
        <w:t xml:space="preserve">Dell Technologies, Q2 FY2027 results and guidance. Sep. 1, 2026. </w:t>
      </w:r>
      <w:hyperlink r:id="rId128">
        <w:r>
          <w:rPr>
            <w:color w:val="117C83"/>
            <w:u w:val="single"/>
          </w:rPr>
          <w:t>Link</w:t>
        </w:r>
      </w:hyperlink>
    </w:p>
    <w:p>
      <w:pPr>
        <w:pStyle w:val="SmallNote"/>
        <w:spacing w:after="20"/>
      </w:pPr>
      <w:r>
        <w:rPr>
          <w:b/>
        </w:rPr>
        <w:t xml:space="preserve">[30] </w:t>
      </w:r>
      <w:r>
        <w:t xml:space="preserve">IBM, Q2 2026 results and full-year expectations. Jul. 22, 2026. </w:t>
      </w:r>
      <w:hyperlink r:id="rId129">
        <w:r>
          <w:rPr>
            <w:color w:val="117C83"/>
            <w:u w:val="single"/>
          </w:rPr>
          <w:t>Link</w:t>
        </w:r>
      </w:hyperlink>
    </w:p>
    <w:p>
      <w:pPr>
        <w:pStyle w:val="SmallNote"/>
        <w:spacing w:after="20"/>
      </w:pPr>
      <w:r>
        <w:rPr>
          <w:b/>
        </w:rPr>
        <w:t xml:space="preserve">[31] </w:t>
      </w:r>
      <w:r>
        <w:t xml:space="preserve">NetApp, Q1 FY2027 results and guidance. Sep. 2, 2026. </w:t>
      </w:r>
      <w:hyperlink r:id="rId130">
        <w:r>
          <w:rPr>
            <w:color w:val="117C83"/>
            <w:u w:val="single"/>
          </w:rPr>
          <w:t>Link</w:t>
        </w:r>
      </w:hyperlink>
    </w:p>
    <w:p>
      <w:pPr>
        <w:pStyle w:val="SmallNote"/>
        <w:spacing w:after="20"/>
      </w:pPr>
      <w:r>
        <w:rPr>
          <w:b/>
        </w:rPr>
        <w:t xml:space="preserve">[32] </w:t>
      </w:r>
      <w:r>
        <w:t xml:space="preserve">Seagate Technology, FY2026 results and Q1 FY2027 outlook. Jul. 2026. </w:t>
      </w:r>
      <w:hyperlink r:id="rId131">
        <w:r>
          <w:rPr>
            <w:color w:val="117C83"/>
            <w:u w:val="single"/>
          </w:rPr>
          <w:t>Link</w:t>
        </w:r>
      </w:hyperlink>
    </w:p>
    <w:p>
      <w:pPr>
        <w:pStyle w:val="SmallNote"/>
        <w:spacing w:after="20"/>
      </w:pPr>
      <w:r>
        <w:rPr>
          <w:b/>
        </w:rPr>
        <w:t xml:space="preserve">[33] </w:t>
      </w:r>
      <w:r>
        <w:t xml:space="preserve">Quantum Corporation, Form 10-Q, quarter ended Sep. 30, 2025 (share count, equity line). </w:t>
      </w:r>
      <w:hyperlink r:id="rId204">
        <w:r>
          <w:rPr>
            <w:color w:val="117C83"/>
            <w:u w:val="single"/>
          </w:rPr>
          <w:t xml:space="preserve">Link</w:t>
        </w:r>
      </w:hyperlink>
    </w:p>
    <w:p>
      <w:pPr>
        <w:pStyle w:val="SmallNote"/>
        <w:spacing w:after="20"/>
      </w:pPr>
      <w:r>
        <w:rPr>
          <w:b/>
        </w:rPr>
        <w:t xml:space="preserve">[34] </w:t>
      </w:r>
      <w:r>
        <w:t xml:space="preserve">Quantum Corporation, “Reports Fiscal Second Quarter 2026 Financial Results”. Nov. 13, 2025. </w:t>
      </w:r>
      <w:hyperlink r:id="rId205">
        <w:r>
          <w:rPr>
            <w:color w:val="117C83"/>
            <w:u w:val="single"/>
          </w:rPr>
          <w:t xml:space="preserve">Link</w:t>
        </w:r>
      </w:hyperlink>
    </w:p>
    <w:p>
      <w:pPr>
        <w:pStyle w:val="SmallNote"/>
        <w:spacing w:after="20"/>
      </w:pPr>
      <w:r>
        <w:rPr>
          <w:b/>
        </w:rPr>
        <w:t xml:space="preserve">[35] </w:t>
      </w:r>
      <w:r>
        <w:t xml:space="preserve">StockAnalysis, statistics for QMCO and peers: market cap, EV, revenue, margins, EV/Sales, EV/EBITDA, forward P/E, float, volume. Prices at Oct. 9, 2026 close; statistics checked Oct. 5-12, 2026. </w:t>
      </w:r>
      <w:hyperlink r:id="rId206">
        <w:r>
          <w:rPr>
            <w:color w:val="117C83"/>
            <w:u w:val="single"/>
          </w:rPr>
          <w:t xml:space="preserve">QMCO</w:t>
        </w:r>
      </w:hyperlink>
      <w:r>
        <w:t xml:space="preserve"> | </w:t>
      </w:r>
      <w:hyperlink r:id="rId207">
        <w:r>
          <w:rPr>
            <w:color w:val="117C83"/>
            <w:u w:val="single"/>
          </w:rPr>
          <w:t xml:space="preserve">HPE</w:t>
        </w:r>
      </w:hyperlink>
      <w:r>
        <w:t xml:space="preserve"> | </w:t>
      </w:r>
      <w:hyperlink r:id="rId208">
        <w:r>
          <w:rPr>
            <w:color w:val="117C83"/>
            <w:u w:val="single"/>
          </w:rPr>
          <w:t xml:space="preserve">DELL</w:t>
        </w:r>
      </w:hyperlink>
      <w:r>
        <w:t xml:space="preserve"> | </w:t>
      </w:r>
      <w:hyperlink r:id="rId209">
        <w:r>
          <w:rPr>
            <w:color w:val="117C83"/>
            <w:u w:val="single"/>
          </w:rPr>
          <w:t xml:space="preserve">IBM</w:t>
        </w:r>
      </w:hyperlink>
      <w:r>
        <w:t xml:space="preserve"> | </w:t>
      </w:r>
      <w:hyperlink r:id="rId210">
        <w:r>
          <w:rPr>
            <w:color w:val="117C83"/>
            <w:u w:val="single"/>
          </w:rPr>
          <w:t xml:space="preserve">NTAP</w:t>
        </w:r>
      </w:hyperlink>
      <w:r>
        <w:t xml:space="preserve"> | </w:t>
      </w:r>
      <w:hyperlink r:id="rId211">
        <w:r>
          <w:rPr>
            <w:color w:val="117C83"/>
            <w:u w:val="single"/>
          </w:rPr>
          <w:t xml:space="preserve">STX</w:t>
        </w:r>
      </w:hyperlink>
    </w:p>
    <w:p>
      <w:pPr>
        <w:pStyle w:val="SmallNote"/>
        <w:spacing w:after="20"/>
      </w:pPr>
      <w:r>
        <w:rPr>
          <w:b/>
        </w:rPr>
        <w:t xml:space="preserve">[36] </w:t>
      </w:r>
      <w:r>
        <w:t xml:space="preserve">StorageNewsletter, “Quantum Enters into Definitive Agreement with Dialectic and Other Lenders to Restructure Term Debt”. Sep. 29, 2025. </w:t>
      </w:r>
      <w:hyperlink r:id="rId212">
        <w:r>
          <w:rPr>
            <w:color w:val="117C83"/>
            <w:u w:val="single"/>
          </w:rPr>
          <w:t xml:space="preserve">Link</w:t>
        </w:r>
      </w:hyperlink>
    </w:p>
    <w:p>
      <w:pPr>
        <w:pStyle w:val="SmallNote"/>
        <w:spacing w:after="20"/>
      </w:pPr>
      <w:r>
        <w:rPr>
          <w:b/>
        </w:rPr>
        <w:t xml:space="preserve">[37] </w:t>
      </w:r>
      <w:r>
        <w:t xml:space="preserve">Quantum Corporation, “Introduces Autonomous Data Management”. Sep. 8, 2026. </w:t>
      </w:r>
      <w:hyperlink r:id="rId213">
        <w:r>
          <w:rPr>
            <w:color w:val="117C83"/>
            <w:u w:val="single"/>
          </w:rPr>
          <w:t xml:space="preserve">Link</w:t>
        </w:r>
      </w:hyperlink>
    </w:p>
    <w:p>
      <w:pPr>
        <w:pStyle w:val="SmallNote"/>
        <w:spacing w:after="20"/>
      </w:pPr>
      <w:r>
        <w:rPr>
          <w:b/>
        </w:rPr>
        <w:t xml:space="preserve">[38] </w:t>
      </w:r>
      <w:r>
        <w:t xml:space="preserve">Allied Market Research, “Tape Storage Market” (press release; $4.31B in 2019, $9.42B by 2030, 7.8% CAGR). </w:t>
      </w:r>
      <w:hyperlink r:id="rId214">
        <w:r>
          <w:rPr>
            <w:color w:val="117C83"/>
            <w:u w:val="single"/>
          </w:rPr>
          <w:t xml:space="preserve">Link</w:t>
        </w:r>
      </w:hyperlink>
    </w:p>
    <w:p>
      <w:pPr>
        <w:pStyle w:val="SmallNote"/>
        <w:spacing w:after="20"/>
      </w:pPr>
      <w:r>
        <w:rPr>
          <w:b/>
        </w:rPr>
        <w:t xml:space="preserve">[39] </w:t>
      </w:r>
      <w:r>
        <w:t xml:space="preserve">Research and Markets, “Tape Storage Market Outlook” ($7.6B in 2025, $17.9B by 2034, 10% CAGR). Oct. 2025. </w:t>
      </w:r>
      <w:hyperlink r:id="rId215">
        <w:r>
          <w:rPr>
            <w:color w:val="117C83"/>
            <w:u w:val="single"/>
          </w:rPr>
          <w:t xml:space="preserve">Link</w:t>
        </w:r>
      </w:hyperlink>
    </w:p>
    <w:p>
      <w:pPr>
        <w:pStyle w:val="SmallNote"/>
        <w:spacing w:after="20"/>
      </w:pPr>
      <w:r>
        <w:rPr>
          <w:b/>
        </w:rPr>
        <w:t xml:space="preserve">[40] </w:t>
      </w:r>
      <w:r>
        <w:t xml:space="preserve">Business Wire, “LTO Tape Capacity Shipments Reach New Record In 2021” (105 EB in 2020; 148 EB in 2021). Apr. 19, 2022. </w:t>
      </w:r>
      <w:hyperlink r:id="rId216">
        <w:r>
          <w:rPr>
            <w:color w:val="117C83"/>
            <w:u w:val="single"/>
          </w:rPr>
          <w:t xml:space="preserve">Link</w:t>
        </w:r>
      </w:hyperlink>
    </w:p>
    <w:p>
      <w:pPr>
        <w:pStyle w:val="SmallNote"/>
        <w:spacing w:after="20"/>
      </w:pPr>
      <w:r>
        <w:rPr>
          <w:b/>
        </w:rPr>
        <w:t xml:space="preserve">[41] </w:t>
      </w:r>
      <w:r>
        <w:t xml:space="preserve">TechTarget, “LTO tape shipments set another capacity record” (148.3 EB in 2022; 152.9 EB in 2023; IDC comment). Jun. 7, 2024. </w:t>
      </w:r>
      <w:hyperlink r:id="rId217">
        <w:r>
          <w:rPr>
            <w:color w:val="117C83"/>
            <w:u w:val="single"/>
          </w:rPr>
          <w:t xml:space="preserve">Link</w:t>
        </w:r>
      </w:hyperlink>
    </w:p>
    <w:p>
      <w:pPr>
        <w:pStyle w:val="SmallNote"/>
        <w:spacing w:after="20"/>
      </w:pPr>
      <w:r>
        <w:rPr>
          <w:b/>
        </w:rPr>
        <w:t xml:space="preserve">[42] </w:t>
      </w:r>
      <w:r>
        <w:t xml:space="preserve">Digrin, QMCO monthly price history. Observed Oct. 2026. </w:t>
      </w:r>
      <w:hyperlink r:id="rId218">
        <w:r>
          <w:rPr>
            <w:color w:val="117C83"/>
            <w:u w:val="single"/>
          </w:rPr>
          <w:t xml:space="preserve">Link</w:t>
        </w:r>
      </w:hyperlink>
    </w:p>
    <w:p>
      <w:pPr>
        <w:pStyle w:val="SmallNote"/>
        <w:spacing w:after="20"/>
      </w:pPr>
      <w:r>
        <w:rPr>
          <w:b/>
        </w:rPr>
        <w:t xml:space="preserve">[43] </w:t>
      </w:r>
      <w:r>
        <w:t xml:space="preserve">StockAnalysis, QMCO daily price history. Observed Oct. 2026. </w:t>
      </w:r>
      <w:hyperlink r:id="rId219">
        <w:r>
          <w:rPr>
            <w:color w:val="117C83"/>
            <w:u w:val="single"/>
          </w:rPr>
          <w:t xml:space="preserve">Link</w:t>
        </w:r>
      </w:hyperlink>
    </w:p>
    <w:p>
      <w:pPr>
        <w:pStyle w:val="SmallNote"/>
        <w:spacing w:after="20"/>
      </w:pPr>
      <w:r>
        <w:rPr>
          <w:b/>
        </w:rPr>
        <w:t xml:space="preserve">[44] </w:t>
      </w:r>
      <w:r>
        <w:t xml:space="preserve">Quantum Corporation, “Reports Fiscal Third Quarter 2026 Financial Results” (8-K Ex. 99.1). Feb. 17, 2026. </w:t>
      </w:r>
      <w:hyperlink r:id="rId220">
        <w:r>
          <w:rPr>
            <w:color w:val="117C83"/>
            <w:u w:val="single"/>
          </w:rPr>
          <w:t xml:space="preserve">Link</w:t>
        </w:r>
      </w:hyperlink>
    </w:p>
    <w:p>
      <w:pPr>
        <w:pStyle w:val="SmallNote"/>
      </w:pPr>
      <w:r>
        <w:t xml:space="preserve">Methods credited: market-implied expectations (Michael J. Mauboussin and Alfred Rappaport); 15-point quality review (Philip A. Fisher); turnaround cross-check (Peter Lynch). All paraphrased.</w:t>
      </w:r>
    </w:p>
    <w:p>
      <w:pPr>
        <w:pStyle w:val="Heading2"/>
      </w:pPr>
      <w:r>
        <w:t xml:space="preserve">Important disclosures</w:t>
      </w:r>
    </w:p>
    <w:p>
      <w:r>
        <w:rPr>
          <w:b/>
        </w:rPr>
        <w:t xml:space="preserve">Purpose.</w:t>
      </w:r>
      <w:r>
        <w:t xml:space="preserve"> Prepared by [Name] for [Client / Family Office] for discussion. Confidential. Not to be shared without the author’s consent. Not an offer or solicitation to buy or sell any security.</w:t>
      </w:r>
    </w:p>
    <w:p>
      <w:r>
        <w:rPr>
          <w:b/>
        </w:rPr>
        <w:t xml:space="preserve">Rating definitions.</w:t>
      </w:r>
      <w:r>
        <w:t xml:space="preserve"> SELL: the author expects the stock to do worse than the broad market over the next 12 months; reduce or exit. Short-term HOLD possible: existing holders may wait for a named event, such as the next quarterly report, with a written exit rule; do not add. HOLD: in line with the market. BUY: better than the market. Price target Under Review: no target is set while key information is pending.</w:t>
      </w:r>
    </w:p>
    <w:p>
      <w:r>
        <w:rPr>
          <w:b/>
        </w:rPr>
        <w:t xml:space="preserve">Analyst certification.</w:t>
      </w:r>
      <w:r>
        <w:t xml:space="preserve"> [Confirm before use.] The views in this report accurately reflect the author’s personal views about the company and its securities. No part of the author’s pay is tied to the specific views in this report.</w:t>
      </w:r>
    </w:p>
    <w:p>
      <w:r>
        <w:rPr>
          <w:b/>
        </w:rPr>
        <w:t xml:space="preserve">Advisory status.</w:t>
      </w:r>
      <w:r>
        <w:t xml:space="preserve"> [Insert regulatory status and whether this report is provided under a written advisory agreement.] Otherwise this is general research, not a personalized recommendation.</w:t>
      </w:r>
    </w:p>
    <w:p>
      <w:r>
        <w:rPr>
          <w:b/>
        </w:rPr>
        <w:t xml:space="preserve">Conflicts.</w:t>
      </w:r>
      <w:r>
        <w:t xml:space="preserve"> [Disclose holdings in QMCO by the author, family or clients, and how the author is paid for this report.]</w:t>
      </w:r>
    </w:p>
    <w:p>
      <w:r>
        <w:rPr>
          <w:b/>
        </w:rPr>
        <w:t xml:space="preserve">Information.</w:t>
      </w:r>
      <w:r>
        <w:t xml:space="preserve"> Public information as of October 12, 2026, from sources believed reliable but not guaranteed. No material non-public information. No contact with management. Scenario values and competitor-multiple values are illustrations, not forecasts or price targets. Price target: Under Review. Not tax or legal advice.</w:t>
      </w:r>
    </w:p>
    <w:p>
      <w:r>
        <w:rPr>
          <w:b/>
        </w:rPr>
        <w:t xml:space="preserve">Risk.</w:t>
      </w:r>
      <w:r>
        <w:t xml:space="preserve"> QMCO is a volatile small-cap stock. Investors can lose some or all of their investment.</w:t>
      </w:r>
    </w:p>
    <w:sectPr w:rsidR="00FC693F" w:rsidRPr="0006063C" w:rsidSect="00034616">
      <w:headerReference w:type="default" r:id="rId9"/>
      <w:footerReference w:type="default" r:id="rId10"/>
      <w:pgSz w:w="12240" w:h="15840"/>
      <w:pgMar w:top="893" w:right="1008" w:bottom="893" w:left="1008"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575"/>
        <w:sz w:val="15"/>
      </w:rPr>
      <w:t xml:space="preserve">As of October 12, 2026  |  Confidential: for the named recipient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3" w:color="117C83"/>
      </w:pBdr>
    </w:pPr>
    <w:r>
      <w:rPr>
        <w:rFonts w:ascii="Aptos" w:hAnsi="Aptos"/>
        <w:b/>
        <w:color w:val="117C83"/>
        <w:sz w:val="16"/>
      </w:rPr>
      <w:t>QMCO  /  QUANTUM CORPORATION</w:t>
    </w:r>
    <w:r>
      <w:rPr>
        <w:color w:val="556575"/>
        <w:sz w:val="16"/>
      </w:rPr>
      <w:t xml:space="preserve">      INDEPENDENT EQUITY RESEARCH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eastAsia="Aptos"/>
      <w:color w:val="1826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17C8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2304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2304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55657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line="240" w:lineRule="auto"/>
    </w:pPr>
    <w:rPr>
      <w:rFonts w:ascii="Aptos" w:hAnsi="Aptos"/>
      <w:color w:val="556575"/>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00" Type="http://schemas.openxmlformats.org/officeDocument/2006/relationships/hyperlink" Target="https://investors.quantum.com/news-events/press-releases/detail/266/quantum-reports-fiscal-first-quarter-2027-financial-results" TargetMode="External"/><Relationship Id="rId101" Type="http://schemas.openxmlformats.org/officeDocument/2006/relationships/hyperlink" Target="https://www.sec.gov/Archives/edgar/data/709283/000162828026055417/qtm-20260630.htm" TargetMode="External"/><Relationship Id="rId102" Type="http://schemas.openxmlformats.org/officeDocument/2006/relationships/hyperlink" Target="https://www.sec.gov/Archives/edgar/data/709283/000162828026045602/qtm-20260331.htm" TargetMode="External"/><Relationship Id="rId103" Type="http://schemas.openxmlformats.org/officeDocument/2006/relationships/hyperlink" Target="https://www.sec.gov/Archives/edgar/data/709283/000162828026065547/qtm-20261009.htm" TargetMode="External"/><Relationship Id="rId104" Type="http://schemas.openxmlformats.org/officeDocument/2006/relationships/hyperlink" Target="https://www.fool.com/earnings/call-transcripts/2026/08/17/quantum-qmco-q1-2027-earnings-call-transcript/" TargetMode="External"/><Relationship Id="rId105" Type="http://schemas.openxmlformats.org/officeDocument/2006/relationships/hyperlink" Target="https://www.sec.gov/Archives/edgar/data/0000709283/000162828026045529/fy26exhibit991.htm" TargetMode="External"/><Relationship Id="rId106" Type="http://schemas.openxmlformats.org/officeDocument/2006/relationships/hyperlink" Target="https://investors.quantum.com/financial-information/sec-filings/content/0000709283-23-000012/fy23q4exhibit991.htm" TargetMode="External"/><Relationship Id="rId107" Type="http://schemas.openxmlformats.org/officeDocument/2006/relationships/hyperlink" Target="https://investors.quantum.com/news-events/press-releases/detail/258/quantum-announces-equity-financing-to-strengthen-balance" TargetMode="External"/><Relationship Id="rId108" Type="http://schemas.openxmlformats.org/officeDocument/2006/relationships/hyperlink" Target="https://www.sec.gov/Archives/edgar/data/709283/000162828026049821/quantum-424b3july2026.htm" TargetMode="External"/><Relationship Id="rId109" Type="http://schemas.openxmlformats.org/officeDocument/2006/relationships/hyperlink" Target="https://www.sec.gov/Archives/edgar/data/0000709283/000162828026063661/jamesclancycooquantumannou.htm" TargetMode="External"/><Relationship Id="rId110" Type="http://schemas.openxmlformats.org/officeDocument/2006/relationships/hyperlink" Target="https://www.storagenewsletter.com/?p=305491" TargetMode="External"/><Relationship Id="rId111" Type="http://schemas.openxmlformats.org/officeDocument/2006/relationships/hyperlink" Target="https://investors.quantum.com/financial-information/sec-filings/content/0001628280-26-004461/exhibit991cfoannouncement.htm" TargetMode="External"/><Relationship Id="rId112" Type="http://schemas.openxmlformats.org/officeDocument/2006/relationships/hyperlink" Target="https://www.sec.gov/Archives/edgar/data/0000709283/000070928325000023/qtm-20250812.htm" TargetMode="External"/><Relationship Id="rId113" Type="http://schemas.openxmlformats.org/officeDocument/2006/relationships/hyperlink" Target="https://www.sec.gov/Archives/edgar/data/709283/000070928325000021/qtm-20250808.htm" TargetMode="External"/><Relationship Id="rId114" Type="http://schemas.openxmlformats.org/officeDocument/2006/relationships/hyperlink" Target="https://www.sec.gov/Archives/edgar/data/709283/000119312525133841/d92964dex991.htm" TargetMode="External"/><Relationship Id="rId115" Type="http://schemas.openxmlformats.org/officeDocument/2006/relationships/hyperlink" Target="https://blocksandfiles.com/2025/10/10/why-did-hugues-meyrath-come-back-to-quantum/" TargetMode="External"/><Relationship Id="rId116" Type="http://schemas.openxmlformats.org/officeDocument/2006/relationships/hyperlink" Target="https://www.businesswire.com/news/home/20250403256073/en/Quantum-Announces-New-Strategic-Investor-Dialectic-Purchases-%2451-Million-of-Outstanding-Debt" TargetMode="External"/><Relationship Id="rId117" Type="http://schemas.openxmlformats.org/officeDocument/2006/relationships/hyperlink" Target="https://investors.quantum.com/financial-information/sec-filings/content/0000899140-26-000635/primary_doc.html" TargetMode="External"/><Relationship Id="rId118" Type="http://schemas.openxmlformats.org/officeDocument/2006/relationships/hyperlink" Target="https://www.blocksandfiles.com/tape/2026/09/04/tape-capacity-shipments-fell-in-2025-but-2026-could-be-a-boom-year-for-tape/5294464" TargetMode="External"/><Relationship Id="rId119" Type="http://schemas.openxmlformats.org/officeDocument/2006/relationships/hyperlink" Target="https://heise.de/-9995035" TargetMode="External"/><Relationship Id="rId120" Type="http://schemas.openxmlformats.org/officeDocument/2006/relationships/hyperlink" Target="https://blocksandfiles.com/2022/10/20/ibm-builds-diamondback-tape-library-for-enterprise-and-cloud-hyperscalers/" TargetMode="External"/><Relationship Id="rId121" Type="http://schemas.openxmlformats.org/officeDocument/2006/relationships/hyperlink" Target="https://spendark.com/blog/s3-storage-class-pricing/" TargetMode="External"/><Relationship Id="rId122" Type="http://schemas.openxmlformats.org/officeDocument/2006/relationships/hyperlink" Target="https://stockanalysis.com/stocks/qmco/market-cap/" TargetMode="External"/><Relationship Id="rId123" Type="http://schemas.openxmlformats.org/officeDocument/2006/relationships/hyperlink" Target="https://stockanalysis.com/stocks/qmco/" TargetMode="External"/><Relationship Id="rId124" Type="http://schemas.openxmlformats.org/officeDocument/2006/relationships/hyperlink" Target="https://www.marketbeat.com/articles/quantum-leaps-debt-free-as-ai-storage-demand-accelerates/" TargetMode="External"/><Relationship Id="rId125" Type="http://schemas.openxmlformats.org/officeDocument/2006/relationships/hyperlink" Target="https://www.gurufocus.com/news/9117939/quantum-corp-qmco-expects-to-meet-or-exceed-q3-financial-guidance" TargetMode="External"/><Relationship Id="rId126" Type="http://schemas.openxmlformats.org/officeDocument/2006/relationships/hyperlink" Target="https://equibles.com/stocks/qmco/shortinterest" TargetMode="External"/><Relationship Id="rId127" Type="http://schemas.openxmlformats.org/officeDocument/2006/relationships/hyperlink" Target="https://www.insidertrades.com/quantum-co-stock-1/" TargetMode="External"/><Relationship Id="rId128" Type="http://schemas.openxmlformats.org/officeDocument/2006/relationships/hyperlink" Target="https://www.dell.com/en-us/dt/corporate/newsroom/announcements/detailpage.press-releases~usa~2026~09~dell-technologies-delivers-second-quarter-fiscal-2027-financial-results.htm" TargetMode="External"/><Relationship Id="rId129" Type="http://schemas.openxmlformats.org/officeDocument/2006/relationships/hyperlink" Target="https://newsroom.ibm.com/2026-07-22-IBM-RELEASES-SECOND-QUARTER-RESULTS" TargetMode="External"/><Relationship Id="rId130" Type="http://schemas.openxmlformats.org/officeDocument/2006/relationships/hyperlink" Target="https://investors.netapp.com/news/news-details/2026/NetApp-Reports-First-Quarter-of-Fiscal-Year-2027-Results/default.aspx" TargetMode="External"/><Relationship Id="rId131" Type="http://schemas.openxmlformats.org/officeDocument/2006/relationships/hyperlink" Target="https://investors.seagate.com/news/news-details/2026/Seagate-Technology-Reports-Fiscal-Fourth-Quarter-and-Fiscal-Year-2026-Financial-Results/" TargetMode="External"/><Relationship Id="rId200" Type="http://schemas.openxmlformats.org/officeDocument/2006/relationships/image" Target="media/qmco_fig1.png"/><Relationship Id="rId201" Type="http://schemas.openxmlformats.org/officeDocument/2006/relationships/image" Target="media/qmco_fig2.png"/><Relationship Id="rId202" Type="http://schemas.openxmlformats.org/officeDocument/2006/relationships/image" Target="media/qmco_fig3.png"/><Relationship Id="rId203" Type="http://schemas.openxmlformats.org/officeDocument/2006/relationships/image" Target="media/qmco_fig4.png"/><Relationship Id="rId204" Type="http://schemas.openxmlformats.org/officeDocument/2006/relationships/hyperlink" Target="https://www.sec.gov/Archives/edgar/data/709283/000070928325000085/qtm-20250930.htm" TargetMode="External"/><Relationship Id="rId205" Type="http://schemas.openxmlformats.org/officeDocument/2006/relationships/hyperlink" Target="https://www.businesswire.com/news/home/20251113275937/en/Quantum-Reports-Fiscal-Second-Quarter-2026-Financial-Results" TargetMode="External"/><Relationship Id="rId206" Type="http://schemas.openxmlformats.org/officeDocument/2006/relationships/hyperlink" Target="https://stockanalysis.com/stocks/qmco/statistics/" TargetMode="External"/><Relationship Id="rId207" Type="http://schemas.openxmlformats.org/officeDocument/2006/relationships/hyperlink" Target="https://stockanalysis.com/stocks/hpe/statistics/" TargetMode="External"/><Relationship Id="rId208" Type="http://schemas.openxmlformats.org/officeDocument/2006/relationships/hyperlink" Target="https://stockanalysis.com/stocks/dell/statistics/" TargetMode="External"/><Relationship Id="rId209" Type="http://schemas.openxmlformats.org/officeDocument/2006/relationships/hyperlink" Target="https://stockanalysis.com/stocks/ibm/statistics/" TargetMode="External"/><Relationship Id="rId210" Type="http://schemas.openxmlformats.org/officeDocument/2006/relationships/hyperlink" Target="https://stockanalysis.com/stocks/ntap/statistics/" TargetMode="External"/><Relationship Id="rId211" Type="http://schemas.openxmlformats.org/officeDocument/2006/relationships/hyperlink" Target="https://stockanalysis.com/stocks/stx/statistics/" TargetMode="External"/><Relationship Id="rId212" Type="http://schemas.openxmlformats.org/officeDocument/2006/relationships/hyperlink" Target="https://www.storagenewsletter.com/2025/09/29/quantum-enters-into-definitive-agreement-with-dialectic-and-other-lenders-to-restructure-term-debt/" TargetMode="External"/><Relationship Id="rId213" Type="http://schemas.openxmlformats.org/officeDocument/2006/relationships/hyperlink" Target="https://investors.quantum.com/news-events/press-releases/detail/269/quantum-introduces-autonomous-data-management-dramatically" TargetMode="External"/><Relationship Id="rId214" Type="http://schemas.openxmlformats.org/officeDocument/2006/relationships/hyperlink" Target="https://alliedmarketresearch.com/press-release/tape-storage-market.html" TargetMode="External"/><Relationship Id="rId215" Type="http://schemas.openxmlformats.org/officeDocument/2006/relationships/hyperlink" Target="https://www.researchandmarkets.com/reports/6187611/tape-storage-market-outlook-market-share" TargetMode="External"/><Relationship Id="rId216" Type="http://schemas.openxmlformats.org/officeDocument/2006/relationships/hyperlink" Target="https://www.businesswire.com/news/home/20220419005174/en/LTO-Tape-Capacity-Shipments-Reach-New-Record-In-2021" TargetMode="External"/><Relationship Id="rId217" Type="http://schemas.openxmlformats.org/officeDocument/2006/relationships/hyperlink" Target="https://www.techtarget.com/searchDataBackup/news/366588292/LTO-tape-shipments-set-another-capacity-record" TargetMode="External"/><Relationship Id="rId218" Type="http://schemas.openxmlformats.org/officeDocument/2006/relationships/hyperlink" Target="https://www.digrin.com/stocks/detail/QMCO/price" TargetMode="External"/><Relationship Id="rId219" Type="http://schemas.openxmlformats.org/officeDocument/2006/relationships/hyperlink" Target="https://stockanalysis.com/stocks/qmco/history/" TargetMode="External"/><Relationship Id="rId220" Type="http://schemas.openxmlformats.org/officeDocument/2006/relationships/hyperlink" Target="https://investors.quantum.com/financial-information/sec-filings/content/0001628280-26-008553/fy26q3exhibit99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QMCO Equity Research Update</dc:title>
  <dc:subject>Quantum Corporation financial and valuation report</dc:subject>
  <dc:creator/>
  <cp:keywords>QMCO, Quantum Corporation, reverse DCF, equity research</cp:keywords>
  <dc:description/>
  <cp:lastModifiedBy/>
  <cp:revision>1</cp:revision>
  <dcterms:created xsi:type="dcterms:W3CDTF">2013-12-23T23:15:00Z</dcterms:created>
  <dcterms:modified xsi:type="dcterms:W3CDTF">2026-10-12T12:00:00Z</dcterms:modified>
  <cp:category/>
</cp:coreProperties>
</file>