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D7F" w:rsidRPr="007F3E3D" w:rsidRDefault="00E10D7F" w:rsidP="00E10D7F">
      <w:pPr>
        <w:rPr>
          <w:szCs w:val="22"/>
        </w:rPr>
      </w:pPr>
      <w:r w:rsidRPr="00413E55">
        <w:rPr>
          <w:noProof/>
        </w:rPr>
        <w:pict>
          <v:shapetype id="_x0000_t202" coordsize="21600,21600" o:spt="202" path="m,l,21600r21600,l21600,xe">
            <v:stroke joinstyle="miter"/>
            <v:path gradientshapeok="t" o:connecttype="rect"/>
          </v:shapetype>
          <v:shape id="KISCvrCopyright" o:spid="_x0000_s1028" type="#_x0000_t202" style="position:absolute;margin-left:0;margin-top:0;width:283.45pt;height:40.8pt;z-index:251662336;mso-position-horizontal:center;mso-position-horizontal-relative:margin;mso-position-vertical:bottom;mso-position-vertical-relative:page" filled="f" stroked="f">
            <v:textbox style="mso-next-textbox:#KISCvrCopyright">
              <w:txbxContent>
                <w:p w:rsidR="00E10D7F" w:rsidRDefault="00E10D7F" w:rsidP="00E10D7F">
                  <w:pPr>
                    <w:autoSpaceDE w:val="0"/>
                    <w:autoSpaceDN w:val="0"/>
                    <w:adjustRightInd w:val="0"/>
                    <w:jc w:val="center"/>
                    <w:rPr>
                      <w:rFonts w:ascii="Univers 45 Light" w:hAnsi="Univers 45 Light" w:cs="Comic Sans MS"/>
                      <w:color w:val="000000"/>
                      <w:sz w:val="12"/>
                      <w:szCs w:val="12"/>
                    </w:rPr>
                  </w:pPr>
                  <w:r w:rsidRPr="00B61D3F">
                    <w:rPr>
                      <w:rFonts w:ascii="Univers 45 Light" w:hAnsi="Univers 45 Light" w:cs="Comic Sans MS"/>
                      <w:color w:val="000000"/>
                      <w:sz w:val="12"/>
                      <w:szCs w:val="12"/>
                    </w:rPr>
                    <w:t>© 201</w:t>
                  </w:r>
                  <w:r>
                    <w:rPr>
                      <w:rFonts w:ascii="Univers 45 Light" w:hAnsi="Univers 45 Light" w:cs="Comic Sans MS"/>
                      <w:color w:val="000000"/>
                      <w:sz w:val="12"/>
                      <w:szCs w:val="12"/>
                    </w:rPr>
                    <w:t>2</w:t>
                  </w:r>
                  <w:r w:rsidRPr="00B61D3F">
                    <w:rPr>
                      <w:rFonts w:ascii="Univers 45 Light" w:hAnsi="Univers 45 Light" w:cs="Comic Sans MS"/>
                      <w:color w:val="000000"/>
                      <w:sz w:val="12"/>
                      <w:szCs w:val="12"/>
                    </w:rPr>
                    <w:t xml:space="preserve"> KPMG LLP, a Delaware limited liability partnership and the U.S. member firm of the KPMG network of independent member firms affiliated with KPMG International Cooperative (“KPMG International”), a Swiss entity. All rights reserved</w:t>
                  </w:r>
                  <w:r w:rsidRPr="00535DF5">
                    <w:rPr>
                      <w:rFonts w:ascii="Univers 45 Light" w:hAnsi="Univers 45 Light" w:cs="Comic Sans MS"/>
                      <w:color w:val="000000"/>
                      <w:sz w:val="12"/>
                      <w:szCs w:val="12"/>
                    </w:rPr>
                    <w:t xml:space="preserve">. </w:t>
                  </w:r>
                </w:p>
                <w:p w:rsidR="00E10D7F" w:rsidRPr="00535DF5" w:rsidRDefault="00E10D7F" w:rsidP="00E10D7F">
                  <w:pPr>
                    <w:autoSpaceDE w:val="0"/>
                    <w:autoSpaceDN w:val="0"/>
                    <w:adjustRightInd w:val="0"/>
                    <w:jc w:val="center"/>
                    <w:rPr>
                      <w:rFonts w:ascii="Univers 45 Light" w:hAnsi="Univers 45 Light" w:cs="Comic Sans MS"/>
                      <w:color w:val="000000"/>
                      <w:sz w:val="12"/>
                      <w:szCs w:val="12"/>
                    </w:rPr>
                  </w:pPr>
                  <w:r w:rsidRPr="00535DF5">
                    <w:rPr>
                      <w:rFonts w:ascii="Univers 45 Light" w:hAnsi="Univers 45 Light"/>
                      <w:sz w:val="12"/>
                      <w:szCs w:val="12"/>
                    </w:rPr>
                    <w:t>Printed in the United States.</w:t>
                  </w:r>
                </w:p>
              </w:txbxContent>
            </v:textbox>
            <w10:wrap anchorx="margin" anchory="page"/>
          </v:shape>
        </w:pict>
      </w:r>
    </w:p>
    <w:p w:rsidR="00E10D7F" w:rsidRDefault="00E10D7F" w:rsidP="00E10D7F">
      <w:pPr>
        <w:pStyle w:val="Alternateheadingortitle"/>
        <w:spacing w:after="0" w:line="240" w:lineRule="auto"/>
        <w:jc w:val="left"/>
        <w:rPr>
          <w:rFonts w:ascii="Times New Roman" w:hAnsi="Times New Roman"/>
          <w:b/>
          <w:bCs/>
          <w:i/>
          <w:iCs/>
          <w:sz w:val="60"/>
        </w:rPr>
      </w:pPr>
      <w:fldSimple w:instr=" DOCPROPERTY  KISClient  \* MERGEFORMAT ">
        <w:r>
          <w:rPr>
            <w:rFonts w:ascii="Times New Roman" w:hAnsi="Times New Roman"/>
            <w:b/>
            <w:bCs/>
            <w:i/>
            <w:iCs/>
            <w:sz w:val="60"/>
          </w:rPr>
          <w:t>Company X, Inc.</w:t>
        </w:r>
      </w:fldSimple>
    </w:p>
    <w:p w:rsidR="00E10D7F" w:rsidRPr="008C17FE" w:rsidRDefault="00E10D7F" w:rsidP="00E10D7F">
      <w:pPr>
        <w:pStyle w:val="Alternateheadingortitle"/>
        <w:spacing w:after="0" w:line="240" w:lineRule="auto"/>
        <w:jc w:val="left"/>
        <w:rPr>
          <w:i/>
          <w:sz w:val="36"/>
        </w:rPr>
      </w:pPr>
      <w:fldSimple w:instr=" DOCPROPERTY  KISSubject  \* MERGEFORMAT ">
        <w:r>
          <w:rPr>
            <w:i/>
            <w:sz w:val="36"/>
          </w:rPr>
          <w:t>U.S. Transfer Pricing Documentation for the Taxable Year Ended December 31, 2010</w:t>
        </w:r>
      </w:fldSimple>
    </w:p>
    <w:p w:rsidR="00E10D7F" w:rsidRPr="008C17FE" w:rsidRDefault="00E10D7F" w:rsidP="00E10D7F">
      <w:pPr>
        <w:pStyle w:val="xl31"/>
        <w:spacing w:before="0" w:beforeAutospacing="0" w:after="0" w:afterAutospacing="0" w:line="260" w:lineRule="atLeast"/>
        <w:rPr>
          <w:rFonts w:ascii="Times New Roman" w:eastAsia="Times New Roman" w:hAnsi="Times New Roman" w:cs="Times New Roman"/>
          <w:szCs w:val="20"/>
        </w:rPr>
      </w:pPr>
    </w:p>
    <w:p w:rsidR="00E10D7F" w:rsidRPr="008C17FE" w:rsidRDefault="00E10D7F" w:rsidP="00E10D7F"/>
    <w:p w:rsidR="00E10D7F" w:rsidRPr="008C17FE" w:rsidRDefault="00E10D7F" w:rsidP="00E10D7F"/>
    <w:p w:rsidR="00E10D7F" w:rsidRDefault="00E10D7F" w:rsidP="00E10D7F"/>
    <w:p w:rsidR="00E10D7F" w:rsidRDefault="00E10D7F" w:rsidP="00E10D7F"/>
    <w:p w:rsidR="00E10D7F" w:rsidRDefault="00E10D7F" w:rsidP="00E10D7F"/>
    <w:p w:rsidR="00E10D7F" w:rsidRDefault="00E10D7F" w:rsidP="00E10D7F"/>
    <w:p w:rsidR="00E10D7F" w:rsidRDefault="00E10D7F" w:rsidP="00E10D7F"/>
    <w:p w:rsidR="00E10D7F" w:rsidRDefault="00E10D7F" w:rsidP="00E10D7F"/>
    <w:p w:rsidR="00E10D7F" w:rsidRDefault="00E10D7F" w:rsidP="00E10D7F">
      <w:pPr>
        <w:pStyle w:val="BodyText"/>
        <w:rPr>
          <w:szCs w:val="22"/>
        </w:rPr>
      </w:pPr>
    </w:p>
    <w:p w:rsidR="00E10D7F" w:rsidRPr="007F3E3D" w:rsidRDefault="00E10D7F" w:rsidP="00E10D7F">
      <w:pPr>
        <w:pBdr>
          <w:top w:val="single" w:sz="4" w:space="1" w:color="auto"/>
        </w:pBdr>
        <w:autoSpaceDE w:val="0"/>
        <w:autoSpaceDN w:val="0"/>
        <w:spacing w:before="130" w:after="130"/>
        <w:jc w:val="both"/>
        <w:rPr>
          <w:szCs w:val="22"/>
        </w:rPr>
      </w:pPr>
      <w:r>
        <w:rPr>
          <w:szCs w:val="22"/>
        </w:rPr>
        <w:t xml:space="preserve">The following document is submitted as a draft for your review. </w:t>
      </w:r>
      <w:r w:rsidRPr="00FC020E">
        <w:rPr>
          <w:szCs w:val="22"/>
        </w:rPr>
        <w:t xml:space="preserve"> </w:t>
      </w:r>
      <w:r>
        <w:rPr>
          <w:szCs w:val="22"/>
        </w:rPr>
        <w:t>In addition, the document is presently under review within KPMG LLP.</w:t>
      </w:r>
      <w:r w:rsidRPr="00FC020E">
        <w:rPr>
          <w:szCs w:val="22"/>
        </w:rPr>
        <w:t xml:space="preserve"> </w:t>
      </w:r>
      <w:r>
        <w:rPr>
          <w:szCs w:val="22"/>
        </w:rPr>
        <w:t xml:space="preserve"> During this internal review process, KPMG will double-check all figures, re-visit the assumptions upon which our conclusions are based, and submit the document for comment to at least one qualified reader not involved in its creation.</w:t>
      </w:r>
    </w:p>
    <w:p w:rsidR="00E10D7F" w:rsidRPr="007F3E3D" w:rsidRDefault="00E10D7F" w:rsidP="00E10D7F">
      <w:pPr>
        <w:pBdr>
          <w:bottom w:val="single" w:sz="4" w:space="1" w:color="auto"/>
        </w:pBdr>
        <w:autoSpaceDE w:val="0"/>
        <w:autoSpaceDN w:val="0"/>
        <w:spacing w:before="130" w:after="130"/>
        <w:jc w:val="both"/>
        <w:rPr>
          <w:szCs w:val="22"/>
        </w:rPr>
      </w:pPr>
      <w:r>
        <w:rPr>
          <w:szCs w:val="22"/>
        </w:rPr>
        <w:t xml:space="preserve">This process is intended to ensure that the final product fully meets your requirements and KPMG’s own standards. </w:t>
      </w:r>
      <w:r w:rsidRPr="00FC020E">
        <w:rPr>
          <w:szCs w:val="22"/>
        </w:rPr>
        <w:t xml:space="preserve"> </w:t>
      </w:r>
      <w:r>
        <w:rPr>
          <w:szCs w:val="22"/>
        </w:rPr>
        <w:t xml:space="preserve">KPMG authorizes no use of, or references to the figures, conclusions, or information contained in the document until you have ascertained that the facts presented in the document are correct and KPMG’s internal review process is complete. </w:t>
      </w:r>
      <w:r w:rsidRPr="00FC020E">
        <w:rPr>
          <w:szCs w:val="22"/>
        </w:rPr>
        <w:t xml:space="preserve"> </w:t>
      </w:r>
      <w:r>
        <w:rPr>
          <w:szCs w:val="22"/>
        </w:rPr>
        <w:t>A document that has been accepted as factually correct by you and has passed KPMG’s internal review process will not bear the designation “DRAFT.”</w:t>
      </w:r>
    </w:p>
    <w:p w:rsidR="00E10D7F" w:rsidRDefault="00E10D7F" w:rsidP="00E10D7F"/>
    <w:p w:rsidR="00E10D7F" w:rsidRPr="008C17FE" w:rsidRDefault="00E10D7F" w:rsidP="00E10D7F"/>
    <w:p w:rsidR="00E10D7F" w:rsidRPr="008C17FE" w:rsidRDefault="00E10D7F" w:rsidP="00E10D7F"/>
    <w:p w:rsidR="00E10D7F" w:rsidRPr="008C17FE" w:rsidRDefault="00E10D7F" w:rsidP="00E10D7F"/>
    <w:p w:rsidR="00E10D7F" w:rsidRPr="008C17FE" w:rsidRDefault="00E10D7F" w:rsidP="00E10D7F"/>
    <w:p w:rsidR="00E10D7F" w:rsidRPr="008C17FE" w:rsidRDefault="00E10D7F" w:rsidP="00E10D7F"/>
    <w:p w:rsidR="00E10D7F" w:rsidRPr="008C17FE" w:rsidRDefault="00E10D7F" w:rsidP="00E10D7F"/>
    <w:p w:rsidR="00E10D7F" w:rsidRPr="008C17FE" w:rsidRDefault="00E10D7F" w:rsidP="00E10D7F"/>
    <w:p w:rsidR="00E10D7F" w:rsidRPr="008C17FE" w:rsidRDefault="00E10D7F" w:rsidP="00E10D7F">
      <w:pPr>
        <w:pBdr>
          <w:top w:val="single" w:sz="6" w:space="1" w:color="auto"/>
          <w:bottom w:val="single" w:sz="6" w:space="1" w:color="auto"/>
        </w:pBdr>
        <w:jc w:val="right"/>
        <w:rPr>
          <w:sz w:val="40"/>
        </w:rPr>
      </w:pPr>
      <w:r w:rsidRPr="008C17FE">
        <w:rPr>
          <w:sz w:val="40"/>
        </w:rPr>
        <w:t>Prepared by KPMG LLP</w:t>
      </w:r>
    </w:p>
    <w:p w:rsidR="00E10D7F" w:rsidRPr="008C17FE" w:rsidRDefault="00E10D7F" w:rsidP="00E10D7F">
      <w:pPr>
        <w:pBdr>
          <w:top w:val="single" w:sz="6" w:space="1" w:color="auto"/>
          <w:bottom w:val="single" w:sz="6" w:space="1" w:color="auto"/>
        </w:pBdr>
        <w:jc w:val="right"/>
        <w:rPr>
          <w:sz w:val="40"/>
        </w:rPr>
      </w:pPr>
      <w:r w:rsidRPr="008C17FE">
        <w:rPr>
          <w:sz w:val="40"/>
        </w:rPr>
        <w:t>Global Transfer Pricing Services</w:t>
      </w:r>
    </w:p>
    <w:p w:rsidR="00E10D7F" w:rsidRPr="008C17FE" w:rsidRDefault="00E10D7F" w:rsidP="00E10D7F">
      <w:pPr>
        <w:pStyle w:val="Alternateheadingortitle"/>
        <w:widowControl/>
        <w:spacing w:after="0"/>
        <w:rPr>
          <w:rFonts w:ascii="Times New Roman" w:hAnsi="Times New Roman"/>
          <w:smallCaps w:val="0"/>
        </w:rPr>
      </w:pPr>
      <w:r w:rsidRPr="00413E55">
        <w:rPr>
          <w:rFonts w:ascii="Times New Roman Bold" w:hAnsi="Times New Roman Bold"/>
          <w:b/>
          <w:color w:val="FF0000"/>
        </w:rPr>
        <w:pict>
          <v:shape id="_x0000_s1043" type="#_x0000_t202" style="position:absolute;left:0;text-align:left;margin-left:38.05pt;margin-top:106.35pt;width:349.85pt;height:29.25pt;z-index:251677696" filled="f" stroked="f">
            <v:textbox style="mso-next-textbox:#_x0000_s1043">
              <w:txbxContent>
                <w:p w:rsidR="00E10D7F" w:rsidRPr="00B770AC" w:rsidRDefault="00E10D7F" w:rsidP="00E10D7F">
                  <w:pPr>
                    <w:pStyle w:val="Footer"/>
                    <w:jc w:val="center"/>
                    <w:rPr>
                      <w:sz w:val="12"/>
                      <w:szCs w:val="12"/>
                    </w:rPr>
                  </w:pPr>
                </w:p>
                <w:p w:rsidR="00E10D7F" w:rsidRDefault="00E10D7F" w:rsidP="00E10D7F"/>
              </w:txbxContent>
            </v:textbox>
          </v:shape>
        </w:pict>
      </w:r>
      <w:r>
        <w:rPr>
          <w:rFonts w:ascii="Times New Roman" w:hAnsi="Times New Roman"/>
          <w:smallCaps w:val="0"/>
        </w:rPr>
        <w:t xml:space="preserve"> </w:t>
      </w:r>
      <w:r w:rsidRPr="008C17FE">
        <w:rPr>
          <w:rFonts w:ascii="Times New Roman" w:hAnsi="Times New Roman"/>
          <w:smallCaps w:val="0"/>
        </w:rPr>
        <w:fldChar w:fldCharType="begin"/>
      </w:r>
      <w:r w:rsidRPr="008C17FE">
        <w:rPr>
          <w:rFonts w:ascii="Times New Roman" w:hAnsi="Times New Roman"/>
          <w:smallCaps w:val="0"/>
        </w:rPr>
        <w:instrText xml:space="preserve"> DATE  \@ "MMMM d, yyyy" </w:instrText>
      </w:r>
      <w:r w:rsidRPr="008C17FE">
        <w:rPr>
          <w:rFonts w:ascii="Times New Roman" w:hAnsi="Times New Roman"/>
          <w:smallCaps w:val="0"/>
        </w:rPr>
        <w:fldChar w:fldCharType="separate"/>
      </w:r>
      <w:r>
        <w:rPr>
          <w:rFonts w:ascii="Times New Roman" w:hAnsi="Times New Roman"/>
          <w:smallCaps w:val="0"/>
          <w:noProof/>
        </w:rPr>
        <w:t>April 10, 2014</w:t>
      </w:r>
      <w:r w:rsidRPr="008C17FE">
        <w:rPr>
          <w:rFonts w:ascii="Times New Roman" w:hAnsi="Times New Roman"/>
          <w:smallCaps w:val="0"/>
        </w:rPr>
        <w:fldChar w:fldCharType="end"/>
      </w:r>
    </w:p>
    <w:p w:rsidR="00E10D7F" w:rsidRDefault="00E10D7F" w:rsidP="00E10D7F"/>
    <w:p w:rsidR="00E10D7F" w:rsidRPr="007F3E3D" w:rsidRDefault="00E10D7F" w:rsidP="00E10D7F">
      <w:pPr>
        <w:sectPr w:rsidR="00E10D7F" w:rsidRPr="007F3E3D" w:rsidSect="00E10D7F">
          <w:headerReference w:type="default" r:id="rId7"/>
          <w:pgSz w:w="12240" w:h="15840" w:code="1"/>
          <w:pgMar w:top="2520" w:right="1469" w:bottom="1584" w:left="1469" w:header="734" w:footer="734" w:gutter="461"/>
          <w:pgNumType w:start="1"/>
          <w:cols w:space="720"/>
          <w:rtlGutter/>
        </w:sectPr>
      </w:pPr>
    </w:p>
    <w:p w:rsidR="00E10D7F" w:rsidRPr="007F3E3D" w:rsidRDefault="00E10D7F" w:rsidP="00E10D7F">
      <w:pPr>
        <w:pStyle w:val="zcontents"/>
      </w:pPr>
      <w:r>
        <w:lastRenderedPageBreak/>
        <w:t>Contents</w:t>
      </w:r>
    </w:p>
    <w:p w:rsidR="00E10D7F" w:rsidRDefault="00E10D7F" w:rsidP="00E10D7F">
      <w:pPr>
        <w:pStyle w:val="TOC1"/>
        <w:rPr>
          <w:rFonts w:asciiTheme="minorHAnsi" w:eastAsiaTheme="minorEastAsia" w:hAnsiTheme="minorHAnsi" w:cstheme="minorBidi"/>
          <w:noProof/>
          <w:sz w:val="22"/>
          <w:szCs w:val="22"/>
        </w:rPr>
      </w:pPr>
      <w:r w:rsidRPr="007F3E3D">
        <w:fldChar w:fldCharType="begin"/>
      </w:r>
      <w:r>
        <w:instrText xml:space="preserve"> TOC \o "1-2" \t "Appendix Heading,1,_Appendix 1,1" </w:instrText>
      </w:r>
      <w:r w:rsidRPr="007F3E3D">
        <w:fldChar w:fldCharType="separate"/>
      </w:r>
      <w:r>
        <w:rPr>
          <w:noProof/>
        </w:rPr>
        <w:t>1</w:t>
      </w:r>
      <w:r>
        <w:rPr>
          <w:rFonts w:asciiTheme="minorHAnsi" w:eastAsiaTheme="minorEastAsia" w:hAnsiTheme="minorHAnsi" w:cstheme="minorBidi"/>
          <w:noProof/>
          <w:sz w:val="22"/>
          <w:szCs w:val="22"/>
        </w:rPr>
        <w:tab/>
      </w:r>
      <w:r>
        <w:rPr>
          <w:noProof/>
        </w:rPr>
        <w:t>Introduction and Executive Summary</w:t>
      </w:r>
      <w:r>
        <w:rPr>
          <w:noProof/>
        </w:rPr>
        <w:tab/>
      </w:r>
      <w:r>
        <w:rPr>
          <w:noProof/>
        </w:rPr>
        <w:fldChar w:fldCharType="begin"/>
      </w:r>
      <w:r>
        <w:rPr>
          <w:noProof/>
        </w:rPr>
        <w:instrText xml:space="preserve"> PAGEREF _Toc327559235 \h </w:instrText>
      </w:r>
      <w:r>
        <w:rPr>
          <w:noProof/>
        </w:rPr>
      </w:r>
      <w:r>
        <w:rPr>
          <w:noProof/>
        </w:rPr>
        <w:fldChar w:fldCharType="separate"/>
      </w:r>
      <w:r>
        <w:rPr>
          <w:noProof/>
        </w:rPr>
        <w:t>4</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_Toc327559236 \h </w:instrText>
      </w:r>
      <w:r>
        <w:rPr>
          <w:noProof/>
        </w:rPr>
      </w:r>
      <w:r>
        <w:rPr>
          <w:noProof/>
        </w:rPr>
        <w:fldChar w:fldCharType="separate"/>
      </w:r>
      <w:r>
        <w:rPr>
          <w:noProof/>
        </w:rPr>
        <w:t>4</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Executive Summary</w:t>
      </w:r>
      <w:r>
        <w:rPr>
          <w:noProof/>
        </w:rPr>
        <w:tab/>
      </w:r>
      <w:r>
        <w:rPr>
          <w:noProof/>
        </w:rPr>
        <w:fldChar w:fldCharType="begin"/>
      </w:r>
      <w:r>
        <w:rPr>
          <w:noProof/>
        </w:rPr>
        <w:instrText xml:space="preserve"> PAGEREF _Toc327559237 \h </w:instrText>
      </w:r>
      <w:r>
        <w:rPr>
          <w:noProof/>
        </w:rPr>
      </w:r>
      <w:r>
        <w:rPr>
          <w:noProof/>
        </w:rPr>
        <w:fldChar w:fldCharType="separate"/>
      </w:r>
      <w:r>
        <w:rPr>
          <w:noProof/>
        </w:rPr>
        <w:t>5</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Basis for Opinion</w:t>
      </w:r>
      <w:r>
        <w:rPr>
          <w:noProof/>
        </w:rPr>
        <w:tab/>
      </w:r>
      <w:r>
        <w:rPr>
          <w:noProof/>
        </w:rPr>
        <w:fldChar w:fldCharType="begin"/>
      </w:r>
      <w:r>
        <w:rPr>
          <w:noProof/>
        </w:rPr>
        <w:instrText xml:space="preserve"> PAGEREF _Toc327559238 \h </w:instrText>
      </w:r>
      <w:r>
        <w:rPr>
          <w:noProof/>
        </w:rPr>
      </w:r>
      <w:r>
        <w:rPr>
          <w:noProof/>
        </w:rPr>
        <w:fldChar w:fldCharType="separate"/>
      </w:r>
      <w:r>
        <w:rPr>
          <w:noProof/>
        </w:rPr>
        <w:t>6</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Report Contents</w:t>
      </w:r>
      <w:r>
        <w:rPr>
          <w:noProof/>
        </w:rPr>
        <w:tab/>
      </w:r>
      <w:r>
        <w:rPr>
          <w:noProof/>
        </w:rPr>
        <w:fldChar w:fldCharType="begin"/>
      </w:r>
      <w:r>
        <w:rPr>
          <w:noProof/>
        </w:rPr>
        <w:instrText xml:space="preserve"> PAGEREF _Toc327559239 \h </w:instrText>
      </w:r>
      <w:r>
        <w:rPr>
          <w:noProof/>
        </w:rPr>
      </w:r>
      <w:r>
        <w:rPr>
          <w:noProof/>
        </w:rPr>
        <w:fldChar w:fldCharType="separate"/>
      </w:r>
      <w:r>
        <w:rPr>
          <w:noProof/>
        </w:rPr>
        <w:t>7</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Company Overview</w:t>
      </w:r>
      <w:r>
        <w:rPr>
          <w:noProof/>
        </w:rPr>
        <w:tab/>
      </w:r>
      <w:r>
        <w:rPr>
          <w:noProof/>
        </w:rPr>
        <w:fldChar w:fldCharType="begin"/>
      </w:r>
      <w:r>
        <w:rPr>
          <w:noProof/>
        </w:rPr>
        <w:instrText xml:space="preserve"> PAGEREF _Toc327559240 \h </w:instrText>
      </w:r>
      <w:r>
        <w:rPr>
          <w:noProof/>
        </w:rPr>
      </w:r>
      <w:r>
        <w:rPr>
          <w:noProof/>
        </w:rPr>
        <w:fldChar w:fldCharType="separate"/>
      </w:r>
      <w:r>
        <w:rPr>
          <w:noProof/>
        </w:rPr>
        <w:t>8</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Company Background and Organization</w:t>
      </w:r>
      <w:r>
        <w:rPr>
          <w:noProof/>
        </w:rPr>
        <w:tab/>
      </w:r>
      <w:r>
        <w:rPr>
          <w:noProof/>
        </w:rPr>
        <w:fldChar w:fldCharType="begin"/>
      </w:r>
      <w:r>
        <w:rPr>
          <w:noProof/>
        </w:rPr>
        <w:instrText xml:space="preserve"> PAGEREF _Toc327559241 \h </w:instrText>
      </w:r>
      <w:r>
        <w:rPr>
          <w:noProof/>
        </w:rPr>
      </w:r>
      <w:r>
        <w:rPr>
          <w:noProof/>
        </w:rPr>
        <w:fldChar w:fldCharType="separate"/>
      </w:r>
      <w:r>
        <w:rPr>
          <w:noProof/>
        </w:rPr>
        <w:t>8</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Product Overview</w:t>
      </w:r>
      <w:r>
        <w:rPr>
          <w:noProof/>
        </w:rPr>
        <w:tab/>
      </w:r>
      <w:r>
        <w:rPr>
          <w:noProof/>
        </w:rPr>
        <w:fldChar w:fldCharType="begin"/>
      </w:r>
      <w:r>
        <w:rPr>
          <w:noProof/>
        </w:rPr>
        <w:instrText xml:space="preserve"> PAGEREF _Toc327559242 \h </w:instrText>
      </w:r>
      <w:r>
        <w:rPr>
          <w:noProof/>
        </w:rPr>
      </w:r>
      <w:r>
        <w:rPr>
          <w:noProof/>
        </w:rPr>
        <w:fldChar w:fldCharType="separate"/>
      </w:r>
      <w:r>
        <w:rPr>
          <w:noProof/>
        </w:rPr>
        <w:t>9</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Financial Performance of USCO</w:t>
      </w:r>
      <w:r>
        <w:rPr>
          <w:noProof/>
        </w:rPr>
        <w:tab/>
      </w:r>
      <w:r>
        <w:rPr>
          <w:noProof/>
        </w:rPr>
        <w:fldChar w:fldCharType="begin"/>
      </w:r>
      <w:r>
        <w:rPr>
          <w:noProof/>
        </w:rPr>
        <w:instrText xml:space="preserve"> PAGEREF _Toc327559243 \h </w:instrText>
      </w:r>
      <w:r>
        <w:rPr>
          <w:noProof/>
        </w:rPr>
      </w:r>
      <w:r>
        <w:rPr>
          <w:noProof/>
        </w:rPr>
        <w:fldChar w:fldCharType="separate"/>
      </w:r>
      <w:r>
        <w:rPr>
          <w:noProof/>
        </w:rPr>
        <w:t>9</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Intercompany Transactions</w:t>
      </w:r>
      <w:r>
        <w:rPr>
          <w:noProof/>
        </w:rPr>
        <w:tab/>
      </w:r>
      <w:r>
        <w:rPr>
          <w:noProof/>
        </w:rPr>
        <w:fldChar w:fldCharType="begin"/>
      </w:r>
      <w:r>
        <w:rPr>
          <w:noProof/>
        </w:rPr>
        <w:instrText xml:space="preserve"> PAGEREF _Toc327559244 \h </w:instrText>
      </w:r>
      <w:r>
        <w:rPr>
          <w:noProof/>
        </w:rPr>
      </w:r>
      <w:r>
        <w:rPr>
          <w:noProof/>
        </w:rPr>
        <w:fldChar w:fldCharType="separate"/>
      </w:r>
      <w:r>
        <w:rPr>
          <w:noProof/>
        </w:rPr>
        <w:t>11</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Transaction 1 – Sale of Chemicals to GERCO</w:t>
      </w:r>
      <w:r>
        <w:rPr>
          <w:noProof/>
        </w:rPr>
        <w:tab/>
      </w:r>
      <w:r>
        <w:rPr>
          <w:noProof/>
        </w:rPr>
        <w:fldChar w:fldCharType="begin"/>
      </w:r>
      <w:r>
        <w:rPr>
          <w:noProof/>
        </w:rPr>
        <w:instrText xml:space="preserve"> PAGEREF _Toc327559245 \h </w:instrText>
      </w:r>
      <w:r>
        <w:rPr>
          <w:noProof/>
        </w:rPr>
      </w:r>
      <w:r>
        <w:rPr>
          <w:noProof/>
        </w:rPr>
        <w:fldChar w:fldCharType="separate"/>
      </w:r>
      <w:r>
        <w:rPr>
          <w:noProof/>
        </w:rPr>
        <w:t>11</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Transaction 2 – Purchase of Chemicals from CANCO</w:t>
      </w:r>
      <w:r>
        <w:rPr>
          <w:noProof/>
        </w:rPr>
        <w:tab/>
      </w:r>
      <w:r>
        <w:rPr>
          <w:noProof/>
        </w:rPr>
        <w:fldChar w:fldCharType="begin"/>
      </w:r>
      <w:r>
        <w:rPr>
          <w:noProof/>
        </w:rPr>
        <w:instrText xml:space="preserve"> PAGEREF _Toc327559246 \h </w:instrText>
      </w:r>
      <w:r>
        <w:rPr>
          <w:noProof/>
        </w:rPr>
      </w:r>
      <w:r>
        <w:rPr>
          <w:noProof/>
        </w:rPr>
        <w:fldChar w:fldCharType="separate"/>
      </w:r>
      <w:r>
        <w:rPr>
          <w:noProof/>
        </w:rPr>
        <w:t>12</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Interrelationship of Transactions</w:t>
      </w:r>
      <w:r>
        <w:rPr>
          <w:noProof/>
        </w:rPr>
        <w:tab/>
      </w:r>
      <w:r>
        <w:rPr>
          <w:noProof/>
        </w:rPr>
        <w:fldChar w:fldCharType="begin"/>
      </w:r>
      <w:r>
        <w:rPr>
          <w:noProof/>
        </w:rPr>
        <w:instrText xml:space="preserve"> PAGEREF _Toc327559247 \h </w:instrText>
      </w:r>
      <w:r>
        <w:rPr>
          <w:noProof/>
        </w:rPr>
      </w:r>
      <w:r>
        <w:rPr>
          <w:noProof/>
        </w:rPr>
        <w:fldChar w:fldCharType="separate"/>
      </w:r>
      <w:r>
        <w:rPr>
          <w:noProof/>
        </w:rPr>
        <w:t>13</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Financial Data on the Intercompany Transactions</w:t>
      </w:r>
      <w:r>
        <w:rPr>
          <w:noProof/>
        </w:rPr>
        <w:tab/>
      </w:r>
      <w:r>
        <w:rPr>
          <w:noProof/>
        </w:rPr>
        <w:fldChar w:fldCharType="begin"/>
      </w:r>
      <w:r>
        <w:rPr>
          <w:noProof/>
        </w:rPr>
        <w:instrText xml:space="preserve"> PAGEREF _Toc327559248 \h </w:instrText>
      </w:r>
      <w:r>
        <w:rPr>
          <w:noProof/>
        </w:rPr>
      </w:r>
      <w:r>
        <w:rPr>
          <w:noProof/>
        </w:rPr>
        <w:fldChar w:fldCharType="separate"/>
      </w:r>
      <w:r>
        <w:rPr>
          <w:noProof/>
        </w:rPr>
        <w:t>13</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Intercompany Transaction Flows</w:t>
      </w:r>
      <w:r>
        <w:rPr>
          <w:noProof/>
        </w:rPr>
        <w:tab/>
      </w:r>
      <w:r>
        <w:rPr>
          <w:noProof/>
        </w:rPr>
        <w:fldChar w:fldCharType="begin"/>
      </w:r>
      <w:r>
        <w:rPr>
          <w:noProof/>
        </w:rPr>
        <w:instrText xml:space="preserve"> PAGEREF _Toc327559249 \h </w:instrText>
      </w:r>
      <w:r>
        <w:rPr>
          <w:noProof/>
        </w:rPr>
      </w:r>
      <w:r>
        <w:rPr>
          <w:noProof/>
        </w:rPr>
        <w:fldChar w:fldCharType="separate"/>
      </w:r>
      <w:r>
        <w:rPr>
          <w:noProof/>
        </w:rPr>
        <w:t>13</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Implications of Industry Attributes for the Intercompany Transactions</w:t>
      </w:r>
      <w:r>
        <w:rPr>
          <w:noProof/>
        </w:rPr>
        <w:tab/>
      </w:r>
      <w:r>
        <w:rPr>
          <w:noProof/>
        </w:rPr>
        <w:fldChar w:fldCharType="begin"/>
      </w:r>
      <w:r>
        <w:rPr>
          <w:noProof/>
        </w:rPr>
        <w:instrText xml:space="preserve"> PAGEREF _Toc327559250 \h </w:instrText>
      </w:r>
      <w:r>
        <w:rPr>
          <w:noProof/>
        </w:rPr>
      </w:r>
      <w:r>
        <w:rPr>
          <w:noProof/>
        </w:rPr>
        <w:fldChar w:fldCharType="separate"/>
      </w:r>
      <w:r>
        <w:rPr>
          <w:noProof/>
        </w:rPr>
        <w:t>14</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Analysis of Functions, Assets and Risks</w:t>
      </w:r>
      <w:r>
        <w:rPr>
          <w:noProof/>
        </w:rPr>
        <w:tab/>
      </w:r>
      <w:r>
        <w:rPr>
          <w:noProof/>
        </w:rPr>
        <w:fldChar w:fldCharType="begin"/>
      </w:r>
      <w:r>
        <w:rPr>
          <w:noProof/>
        </w:rPr>
        <w:instrText xml:space="preserve"> PAGEREF _Toc327559251 \h </w:instrText>
      </w:r>
      <w:r>
        <w:rPr>
          <w:noProof/>
        </w:rPr>
      </w:r>
      <w:r>
        <w:rPr>
          <w:noProof/>
        </w:rPr>
        <w:fldChar w:fldCharType="separate"/>
      </w:r>
      <w:r>
        <w:rPr>
          <w:noProof/>
        </w:rPr>
        <w:t>16</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Functional Analysis</w:t>
      </w:r>
      <w:r>
        <w:rPr>
          <w:noProof/>
        </w:rPr>
        <w:tab/>
      </w:r>
      <w:r>
        <w:rPr>
          <w:noProof/>
        </w:rPr>
        <w:fldChar w:fldCharType="begin"/>
      </w:r>
      <w:r>
        <w:rPr>
          <w:noProof/>
        </w:rPr>
        <w:instrText xml:space="preserve"> PAGEREF _Toc327559252 \h </w:instrText>
      </w:r>
      <w:r>
        <w:rPr>
          <w:noProof/>
        </w:rPr>
      </w:r>
      <w:r>
        <w:rPr>
          <w:noProof/>
        </w:rPr>
        <w:fldChar w:fldCharType="separate"/>
      </w:r>
      <w:r>
        <w:rPr>
          <w:noProof/>
        </w:rPr>
        <w:t>16</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Assets</w:t>
      </w:r>
      <w:r>
        <w:rPr>
          <w:noProof/>
        </w:rPr>
        <w:tab/>
      </w:r>
      <w:r>
        <w:rPr>
          <w:noProof/>
        </w:rPr>
        <w:fldChar w:fldCharType="begin"/>
      </w:r>
      <w:r>
        <w:rPr>
          <w:noProof/>
        </w:rPr>
        <w:instrText xml:space="preserve"> PAGEREF _Toc327559253 \h </w:instrText>
      </w:r>
      <w:r>
        <w:rPr>
          <w:noProof/>
        </w:rPr>
      </w:r>
      <w:r>
        <w:rPr>
          <w:noProof/>
        </w:rPr>
        <w:fldChar w:fldCharType="separate"/>
      </w:r>
      <w:r>
        <w:rPr>
          <w:noProof/>
        </w:rPr>
        <w:t>21</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Risk Analysis</w:t>
      </w:r>
      <w:r>
        <w:rPr>
          <w:noProof/>
        </w:rPr>
        <w:tab/>
      </w:r>
      <w:r>
        <w:rPr>
          <w:noProof/>
        </w:rPr>
        <w:fldChar w:fldCharType="begin"/>
      </w:r>
      <w:r>
        <w:rPr>
          <w:noProof/>
        </w:rPr>
        <w:instrText xml:space="preserve"> PAGEREF _Toc327559254 \h </w:instrText>
      </w:r>
      <w:r>
        <w:rPr>
          <w:noProof/>
        </w:rPr>
      </w:r>
      <w:r>
        <w:rPr>
          <w:noProof/>
        </w:rPr>
        <w:fldChar w:fldCharType="separate"/>
      </w:r>
      <w:r>
        <w:rPr>
          <w:noProof/>
        </w:rPr>
        <w:t>22</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Selection of Transfer Pricing Methods</w:t>
      </w:r>
      <w:r>
        <w:rPr>
          <w:noProof/>
        </w:rPr>
        <w:tab/>
      </w:r>
      <w:r>
        <w:rPr>
          <w:noProof/>
        </w:rPr>
        <w:fldChar w:fldCharType="begin"/>
      </w:r>
      <w:r>
        <w:rPr>
          <w:noProof/>
        </w:rPr>
        <w:instrText xml:space="preserve"> PAGEREF _Toc327559255 \h </w:instrText>
      </w:r>
      <w:r>
        <w:rPr>
          <w:noProof/>
        </w:rPr>
      </w:r>
      <w:r>
        <w:rPr>
          <w:noProof/>
        </w:rPr>
        <w:fldChar w:fldCharType="separate"/>
      </w:r>
      <w:r>
        <w:rPr>
          <w:noProof/>
        </w:rPr>
        <w:t>28</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_Toc327559256 \h </w:instrText>
      </w:r>
      <w:r>
        <w:rPr>
          <w:noProof/>
        </w:rPr>
      </w:r>
      <w:r>
        <w:rPr>
          <w:noProof/>
        </w:rPr>
        <w:fldChar w:fldCharType="separate"/>
      </w:r>
      <w:r>
        <w:rPr>
          <w:noProof/>
        </w:rPr>
        <w:t>28</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sidRPr="004E6552">
        <w:rPr>
          <w:noProof/>
          <w:color w:val="0000FF"/>
        </w:rPr>
        <w:t>Sequencing of Analysis/Aggregation</w:t>
      </w:r>
      <w:r>
        <w:rPr>
          <w:noProof/>
        </w:rPr>
        <w:tab/>
      </w:r>
      <w:r>
        <w:rPr>
          <w:noProof/>
        </w:rPr>
        <w:fldChar w:fldCharType="begin"/>
      </w:r>
      <w:r>
        <w:rPr>
          <w:noProof/>
        </w:rPr>
        <w:instrText xml:space="preserve"> PAGEREF _Toc327559257 \h </w:instrText>
      </w:r>
      <w:r>
        <w:rPr>
          <w:noProof/>
        </w:rPr>
      </w:r>
      <w:r>
        <w:rPr>
          <w:noProof/>
        </w:rPr>
        <w:fldChar w:fldCharType="separate"/>
      </w:r>
      <w:r>
        <w:rPr>
          <w:noProof/>
        </w:rPr>
        <w:t>29</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Transaction 1</w:t>
      </w:r>
      <w:r>
        <w:rPr>
          <w:noProof/>
        </w:rPr>
        <w:tab/>
      </w:r>
      <w:r>
        <w:rPr>
          <w:noProof/>
        </w:rPr>
        <w:fldChar w:fldCharType="begin"/>
      </w:r>
      <w:r>
        <w:rPr>
          <w:noProof/>
        </w:rPr>
        <w:instrText xml:space="preserve"> PAGEREF _Toc327559258 \h </w:instrText>
      </w:r>
      <w:r>
        <w:rPr>
          <w:noProof/>
        </w:rPr>
      </w:r>
      <w:r>
        <w:rPr>
          <w:noProof/>
        </w:rPr>
        <w:fldChar w:fldCharType="separate"/>
      </w:r>
      <w:r>
        <w:rPr>
          <w:noProof/>
        </w:rPr>
        <w:t>29</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Transaction 2</w:t>
      </w:r>
      <w:r>
        <w:rPr>
          <w:noProof/>
        </w:rPr>
        <w:tab/>
      </w:r>
      <w:r>
        <w:rPr>
          <w:noProof/>
        </w:rPr>
        <w:fldChar w:fldCharType="begin"/>
      </w:r>
      <w:r>
        <w:rPr>
          <w:noProof/>
        </w:rPr>
        <w:instrText xml:space="preserve"> PAGEREF _Toc327559259 \h </w:instrText>
      </w:r>
      <w:r>
        <w:rPr>
          <w:noProof/>
        </w:rPr>
      </w:r>
      <w:r>
        <w:rPr>
          <w:noProof/>
        </w:rPr>
        <w:fldChar w:fldCharType="separate"/>
      </w:r>
      <w:r>
        <w:rPr>
          <w:noProof/>
        </w:rPr>
        <w:t>32</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Economic Analysis</w:t>
      </w:r>
      <w:r>
        <w:rPr>
          <w:noProof/>
        </w:rPr>
        <w:tab/>
      </w:r>
      <w:r>
        <w:rPr>
          <w:noProof/>
        </w:rPr>
        <w:fldChar w:fldCharType="begin"/>
      </w:r>
      <w:r>
        <w:rPr>
          <w:noProof/>
        </w:rPr>
        <w:instrText xml:space="preserve"> PAGEREF _Toc327559260 \h </w:instrText>
      </w:r>
      <w:r>
        <w:rPr>
          <w:noProof/>
        </w:rPr>
      </w:r>
      <w:r>
        <w:rPr>
          <w:noProof/>
        </w:rPr>
        <w:fldChar w:fldCharType="separate"/>
      </w:r>
      <w:r>
        <w:rPr>
          <w:noProof/>
        </w:rPr>
        <w:t>35</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Transaction 1 – Application of the CUP Method</w:t>
      </w:r>
      <w:r>
        <w:rPr>
          <w:noProof/>
        </w:rPr>
        <w:tab/>
      </w:r>
      <w:r>
        <w:rPr>
          <w:noProof/>
        </w:rPr>
        <w:fldChar w:fldCharType="begin"/>
      </w:r>
      <w:r>
        <w:rPr>
          <w:noProof/>
        </w:rPr>
        <w:instrText xml:space="preserve"> PAGEREF _Toc327559261 \h </w:instrText>
      </w:r>
      <w:r>
        <w:rPr>
          <w:noProof/>
        </w:rPr>
      </w:r>
      <w:r>
        <w:rPr>
          <w:noProof/>
        </w:rPr>
        <w:fldChar w:fldCharType="separate"/>
      </w:r>
      <w:r>
        <w:rPr>
          <w:noProof/>
        </w:rPr>
        <w:t>35</w:t>
      </w:r>
      <w:r>
        <w:rPr>
          <w:noProof/>
        </w:rPr>
        <w:fldChar w:fldCharType="end"/>
      </w:r>
    </w:p>
    <w:p w:rsidR="00E10D7F" w:rsidRDefault="00E10D7F" w:rsidP="00E10D7F">
      <w:pPr>
        <w:pStyle w:val="TOC2"/>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Transaction 2 – Application of the CPM</w:t>
      </w:r>
      <w:r>
        <w:rPr>
          <w:noProof/>
        </w:rPr>
        <w:tab/>
      </w:r>
      <w:r>
        <w:rPr>
          <w:noProof/>
        </w:rPr>
        <w:fldChar w:fldCharType="begin"/>
      </w:r>
      <w:r>
        <w:rPr>
          <w:noProof/>
        </w:rPr>
        <w:instrText xml:space="preserve"> PAGEREF _Toc327559262 \h </w:instrText>
      </w:r>
      <w:r>
        <w:rPr>
          <w:noProof/>
        </w:rPr>
      </w:r>
      <w:r>
        <w:rPr>
          <w:noProof/>
        </w:rPr>
        <w:fldChar w:fldCharType="separate"/>
      </w:r>
      <w:r>
        <w:rPr>
          <w:noProof/>
        </w:rPr>
        <w:t>37</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Conclusions</w:t>
      </w:r>
      <w:r>
        <w:rPr>
          <w:noProof/>
        </w:rPr>
        <w:tab/>
      </w:r>
      <w:r>
        <w:rPr>
          <w:noProof/>
        </w:rPr>
        <w:fldChar w:fldCharType="begin"/>
      </w:r>
      <w:r>
        <w:rPr>
          <w:noProof/>
        </w:rPr>
        <w:instrText xml:space="preserve"> PAGEREF _Toc327559263 \h </w:instrText>
      </w:r>
      <w:r>
        <w:rPr>
          <w:noProof/>
        </w:rPr>
      </w:r>
      <w:r>
        <w:rPr>
          <w:noProof/>
        </w:rPr>
        <w:fldChar w:fldCharType="separate"/>
      </w:r>
      <w:r>
        <w:rPr>
          <w:noProof/>
        </w:rPr>
        <w:t>43</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lastRenderedPageBreak/>
        <w:t>9</w:t>
      </w:r>
      <w:r>
        <w:rPr>
          <w:rFonts w:asciiTheme="minorHAnsi" w:eastAsiaTheme="minorEastAsia" w:hAnsiTheme="minorHAnsi" w:cstheme="minorBidi"/>
          <w:noProof/>
          <w:sz w:val="22"/>
          <w:szCs w:val="22"/>
        </w:rPr>
        <w:tab/>
      </w:r>
      <w:r>
        <w:rPr>
          <w:noProof/>
        </w:rPr>
        <w:t>Appendices</w:t>
      </w:r>
      <w:r>
        <w:rPr>
          <w:noProof/>
        </w:rPr>
        <w:tab/>
      </w:r>
      <w:r>
        <w:rPr>
          <w:noProof/>
        </w:rPr>
        <w:fldChar w:fldCharType="begin"/>
      </w:r>
      <w:r>
        <w:rPr>
          <w:noProof/>
        </w:rPr>
        <w:instrText xml:space="preserve"> PAGEREF _Toc327559264 \h </w:instrText>
      </w:r>
      <w:r>
        <w:rPr>
          <w:noProof/>
        </w:rPr>
      </w:r>
      <w:r>
        <w:rPr>
          <w:noProof/>
        </w:rPr>
        <w:fldChar w:fldCharType="separate"/>
      </w:r>
      <w:r>
        <w:rPr>
          <w:noProof/>
        </w:rPr>
        <w:t>44</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t>A</w:t>
      </w:r>
      <w:r>
        <w:rPr>
          <w:rFonts w:asciiTheme="minorHAnsi" w:eastAsiaTheme="minorEastAsia" w:hAnsiTheme="minorHAnsi" w:cstheme="minorBidi"/>
          <w:noProof/>
          <w:sz w:val="22"/>
          <w:szCs w:val="22"/>
        </w:rPr>
        <w:tab/>
      </w:r>
      <w:r>
        <w:rPr>
          <w:noProof/>
        </w:rPr>
        <w:t>List of Principal Documents</w:t>
      </w:r>
      <w:r>
        <w:rPr>
          <w:noProof/>
        </w:rPr>
        <w:tab/>
      </w:r>
      <w:r>
        <w:rPr>
          <w:noProof/>
        </w:rPr>
        <w:fldChar w:fldCharType="begin"/>
      </w:r>
      <w:r>
        <w:rPr>
          <w:noProof/>
        </w:rPr>
        <w:instrText xml:space="preserve"> PAGEREF _Toc327559265 \h </w:instrText>
      </w:r>
      <w:r>
        <w:rPr>
          <w:noProof/>
        </w:rPr>
      </w:r>
      <w:r>
        <w:rPr>
          <w:noProof/>
        </w:rPr>
        <w:fldChar w:fldCharType="separate"/>
      </w:r>
      <w:r>
        <w:rPr>
          <w:noProof/>
        </w:rPr>
        <w:t>1</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t>B</w:t>
      </w:r>
      <w:r>
        <w:rPr>
          <w:rFonts w:asciiTheme="minorHAnsi" w:eastAsiaTheme="minorEastAsia" w:hAnsiTheme="minorHAnsi" w:cstheme="minorBidi"/>
          <w:noProof/>
          <w:sz w:val="22"/>
          <w:szCs w:val="22"/>
        </w:rPr>
        <w:tab/>
      </w:r>
      <w:r>
        <w:rPr>
          <w:noProof/>
        </w:rPr>
        <w:t>Materials Relied On</w:t>
      </w:r>
      <w:r>
        <w:rPr>
          <w:noProof/>
        </w:rPr>
        <w:tab/>
      </w:r>
      <w:r>
        <w:rPr>
          <w:noProof/>
        </w:rPr>
        <w:fldChar w:fldCharType="begin"/>
      </w:r>
      <w:r>
        <w:rPr>
          <w:noProof/>
        </w:rPr>
        <w:instrText xml:space="preserve"> PAGEREF _Toc327559266 \h </w:instrText>
      </w:r>
      <w:r>
        <w:rPr>
          <w:noProof/>
        </w:rPr>
      </w:r>
      <w:r>
        <w:rPr>
          <w:noProof/>
        </w:rPr>
        <w:fldChar w:fldCharType="separate"/>
      </w:r>
      <w:r>
        <w:rPr>
          <w:noProof/>
        </w:rPr>
        <w:t>3</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t>C</w:t>
      </w:r>
      <w:r>
        <w:rPr>
          <w:rFonts w:asciiTheme="minorHAnsi" w:eastAsiaTheme="minorEastAsia" w:hAnsiTheme="minorHAnsi" w:cstheme="minorBidi"/>
          <w:noProof/>
          <w:sz w:val="22"/>
          <w:szCs w:val="22"/>
        </w:rPr>
        <w:tab/>
      </w:r>
      <w:r>
        <w:rPr>
          <w:noProof/>
        </w:rPr>
        <w:t>Organization Chart</w:t>
      </w:r>
      <w:r>
        <w:rPr>
          <w:noProof/>
        </w:rPr>
        <w:tab/>
      </w:r>
      <w:r>
        <w:rPr>
          <w:noProof/>
        </w:rPr>
        <w:fldChar w:fldCharType="begin"/>
      </w:r>
      <w:r>
        <w:rPr>
          <w:noProof/>
        </w:rPr>
        <w:instrText xml:space="preserve"> PAGEREF _Toc327559267 \h </w:instrText>
      </w:r>
      <w:r>
        <w:rPr>
          <w:noProof/>
        </w:rPr>
      </w:r>
      <w:r>
        <w:rPr>
          <w:noProof/>
        </w:rPr>
        <w:fldChar w:fldCharType="separate"/>
      </w:r>
      <w:r>
        <w:rPr>
          <w:noProof/>
        </w:rPr>
        <w:t>1</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t>D</w:t>
      </w:r>
      <w:r>
        <w:rPr>
          <w:rFonts w:asciiTheme="minorHAnsi" w:eastAsiaTheme="minorEastAsia" w:hAnsiTheme="minorHAnsi" w:cstheme="minorBidi"/>
          <w:noProof/>
          <w:sz w:val="22"/>
          <w:szCs w:val="22"/>
        </w:rPr>
        <w:tab/>
      </w:r>
      <w:r>
        <w:rPr>
          <w:noProof/>
        </w:rPr>
        <w:t>Selected Financial Data for the Tested Party</w:t>
      </w:r>
      <w:r>
        <w:rPr>
          <w:noProof/>
        </w:rPr>
        <w:tab/>
      </w:r>
      <w:r>
        <w:rPr>
          <w:noProof/>
        </w:rPr>
        <w:fldChar w:fldCharType="begin"/>
      </w:r>
      <w:r>
        <w:rPr>
          <w:noProof/>
        </w:rPr>
        <w:instrText xml:space="preserve"> PAGEREF _Toc327559268 \h </w:instrText>
      </w:r>
      <w:r>
        <w:rPr>
          <w:noProof/>
        </w:rPr>
      </w:r>
      <w:r>
        <w:rPr>
          <w:noProof/>
        </w:rPr>
        <w:fldChar w:fldCharType="separate"/>
      </w:r>
      <w:r>
        <w:rPr>
          <w:noProof/>
        </w:rPr>
        <w:t>1</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t>E</w:t>
      </w:r>
      <w:r>
        <w:rPr>
          <w:rFonts w:asciiTheme="minorHAnsi" w:eastAsiaTheme="minorEastAsia" w:hAnsiTheme="minorHAnsi" w:cstheme="minorBidi"/>
          <w:noProof/>
          <w:sz w:val="22"/>
          <w:szCs w:val="22"/>
        </w:rPr>
        <w:tab/>
      </w:r>
      <w:r>
        <w:rPr>
          <w:noProof/>
        </w:rPr>
        <w:t>Comparable Uncontrolled Transactions – CUP Analysis</w:t>
      </w:r>
      <w:r>
        <w:rPr>
          <w:noProof/>
        </w:rPr>
        <w:tab/>
      </w:r>
      <w:r>
        <w:rPr>
          <w:noProof/>
        </w:rPr>
        <w:fldChar w:fldCharType="begin"/>
      </w:r>
      <w:r>
        <w:rPr>
          <w:noProof/>
        </w:rPr>
        <w:instrText xml:space="preserve"> PAGEREF _Toc327559269 \h </w:instrText>
      </w:r>
      <w:r>
        <w:rPr>
          <w:noProof/>
        </w:rPr>
      </w:r>
      <w:r>
        <w:rPr>
          <w:noProof/>
        </w:rPr>
        <w:fldChar w:fldCharType="separate"/>
      </w:r>
      <w:r>
        <w:rPr>
          <w:noProof/>
        </w:rPr>
        <w:t>3</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t>F</w:t>
      </w:r>
      <w:r>
        <w:rPr>
          <w:rFonts w:asciiTheme="minorHAnsi" w:eastAsiaTheme="minorEastAsia" w:hAnsiTheme="minorHAnsi" w:cstheme="minorBidi"/>
          <w:noProof/>
          <w:sz w:val="22"/>
          <w:szCs w:val="22"/>
        </w:rPr>
        <w:tab/>
      </w:r>
      <w:r>
        <w:rPr>
          <w:noProof/>
        </w:rPr>
        <w:t>Reasons for Rejection Matrix</w:t>
      </w:r>
      <w:r>
        <w:rPr>
          <w:noProof/>
        </w:rPr>
        <w:tab/>
      </w:r>
      <w:r>
        <w:rPr>
          <w:noProof/>
        </w:rPr>
        <w:fldChar w:fldCharType="begin"/>
      </w:r>
      <w:r>
        <w:rPr>
          <w:noProof/>
        </w:rPr>
        <w:instrText xml:space="preserve"> PAGEREF _Toc327559270 \h </w:instrText>
      </w:r>
      <w:r>
        <w:rPr>
          <w:noProof/>
        </w:rPr>
      </w:r>
      <w:r>
        <w:rPr>
          <w:noProof/>
        </w:rPr>
        <w:fldChar w:fldCharType="separate"/>
      </w:r>
      <w:r>
        <w:rPr>
          <w:noProof/>
        </w:rPr>
        <w:t>4</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t>G</w:t>
      </w:r>
      <w:r>
        <w:rPr>
          <w:rFonts w:asciiTheme="minorHAnsi" w:eastAsiaTheme="minorEastAsia" w:hAnsiTheme="minorHAnsi" w:cstheme="minorBidi"/>
          <w:noProof/>
          <w:sz w:val="22"/>
          <w:szCs w:val="22"/>
        </w:rPr>
        <w:tab/>
      </w:r>
      <w:r>
        <w:rPr>
          <w:noProof/>
        </w:rPr>
        <w:t>Business Descriptions of Comparable Companies</w:t>
      </w:r>
      <w:r>
        <w:rPr>
          <w:noProof/>
        </w:rPr>
        <w:tab/>
      </w:r>
      <w:r>
        <w:rPr>
          <w:noProof/>
        </w:rPr>
        <w:fldChar w:fldCharType="begin"/>
      </w:r>
      <w:r>
        <w:rPr>
          <w:noProof/>
        </w:rPr>
        <w:instrText xml:space="preserve"> PAGEREF _Toc327559271 \h </w:instrText>
      </w:r>
      <w:r>
        <w:rPr>
          <w:noProof/>
        </w:rPr>
      </w:r>
      <w:r>
        <w:rPr>
          <w:noProof/>
        </w:rPr>
        <w:fldChar w:fldCharType="separate"/>
      </w:r>
      <w:r>
        <w:rPr>
          <w:noProof/>
        </w:rPr>
        <w:t>5</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t>H</w:t>
      </w:r>
      <w:r>
        <w:rPr>
          <w:rFonts w:asciiTheme="minorHAnsi" w:eastAsiaTheme="minorEastAsia" w:hAnsiTheme="minorHAnsi" w:cstheme="minorBidi"/>
          <w:noProof/>
          <w:sz w:val="22"/>
          <w:szCs w:val="22"/>
        </w:rPr>
        <w:tab/>
      </w:r>
      <w:r>
        <w:rPr>
          <w:noProof/>
        </w:rPr>
        <w:t>Selected Financial Data of Comparable Companies</w:t>
      </w:r>
      <w:r>
        <w:rPr>
          <w:noProof/>
        </w:rPr>
        <w:tab/>
      </w:r>
      <w:r>
        <w:rPr>
          <w:noProof/>
        </w:rPr>
        <w:fldChar w:fldCharType="begin"/>
      </w:r>
      <w:r>
        <w:rPr>
          <w:noProof/>
        </w:rPr>
        <w:instrText xml:space="preserve"> PAGEREF _Toc327559272 \h </w:instrText>
      </w:r>
      <w:r>
        <w:rPr>
          <w:noProof/>
        </w:rPr>
      </w:r>
      <w:r>
        <w:rPr>
          <w:noProof/>
        </w:rPr>
        <w:fldChar w:fldCharType="separate"/>
      </w:r>
      <w:r>
        <w:rPr>
          <w:noProof/>
        </w:rPr>
        <w:t>6</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t>I</w:t>
      </w:r>
      <w:r>
        <w:rPr>
          <w:rFonts w:asciiTheme="minorHAnsi" w:eastAsiaTheme="minorEastAsia" w:hAnsiTheme="minorHAnsi" w:cstheme="minorBidi"/>
          <w:noProof/>
          <w:sz w:val="22"/>
          <w:szCs w:val="22"/>
        </w:rPr>
        <w:tab/>
      </w:r>
      <w:r>
        <w:rPr>
          <w:noProof/>
        </w:rPr>
        <w:t>LIFO/FIFO Adjustments</w:t>
      </w:r>
      <w:r>
        <w:rPr>
          <w:noProof/>
        </w:rPr>
        <w:tab/>
      </w:r>
      <w:r>
        <w:rPr>
          <w:noProof/>
        </w:rPr>
        <w:fldChar w:fldCharType="begin"/>
      </w:r>
      <w:r>
        <w:rPr>
          <w:noProof/>
        </w:rPr>
        <w:instrText xml:space="preserve"> PAGEREF _Toc327559273 \h </w:instrText>
      </w:r>
      <w:r>
        <w:rPr>
          <w:noProof/>
        </w:rPr>
      </w:r>
      <w:r>
        <w:rPr>
          <w:noProof/>
        </w:rPr>
        <w:fldChar w:fldCharType="separate"/>
      </w:r>
      <w:r>
        <w:rPr>
          <w:noProof/>
        </w:rPr>
        <w:t>7</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t>J</w:t>
      </w:r>
      <w:r>
        <w:rPr>
          <w:rFonts w:asciiTheme="minorHAnsi" w:eastAsiaTheme="minorEastAsia" w:hAnsiTheme="minorHAnsi" w:cstheme="minorBidi"/>
          <w:noProof/>
          <w:sz w:val="22"/>
          <w:szCs w:val="22"/>
        </w:rPr>
        <w:tab/>
      </w:r>
      <w:r>
        <w:rPr>
          <w:noProof/>
        </w:rPr>
        <w:t>Adjustments to Comparable Company Data</w:t>
      </w:r>
      <w:r>
        <w:rPr>
          <w:noProof/>
        </w:rPr>
        <w:tab/>
      </w:r>
      <w:r>
        <w:rPr>
          <w:noProof/>
        </w:rPr>
        <w:fldChar w:fldCharType="begin"/>
      </w:r>
      <w:r>
        <w:rPr>
          <w:noProof/>
        </w:rPr>
        <w:instrText xml:space="preserve"> PAGEREF _Toc327559274 \h </w:instrText>
      </w:r>
      <w:r>
        <w:rPr>
          <w:noProof/>
        </w:rPr>
      </w:r>
      <w:r>
        <w:rPr>
          <w:noProof/>
        </w:rPr>
        <w:fldChar w:fldCharType="separate"/>
      </w:r>
      <w:r>
        <w:rPr>
          <w:noProof/>
        </w:rPr>
        <w:t>8</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t>K</w:t>
      </w:r>
      <w:r>
        <w:rPr>
          <w:rFonts w:asciiTheme="minorHAnsi" w:eastAsiaTheme="minorEastAsia" w:hAnsiTheme="minorHAnsi" w:cstheme="minorBidi"/>
          <w:noProof/>
          <w:sz w:val="22"/>
          <w:szCs w:val="22"/>
        </w:rPr>
        <w:tab/>
      </w:r>
      <w:r>
        <w:rPr>
          <w:noProof/>
        </w:rPr>
        <w:t>Documentation Explicitly Required under the Section 482 Regulations</w:t>
      </w:r>
      <w:r>
        <w:rPr>
          <w:noProof/>
        </w:rPr>
        <w:tab/>
      </w:r>
      <w:r>
        <w:rPr>
          <w:noProof/>
        </w:rPr>
        <w:fldChar w:fldCharType="begin"/>
      </w:r>
      <w:r>
        <w:rPr>
          <w:noProof/>
        </w:rPr>
        <w:instrText xml:space="preserve"> PAGEREF _Toc327559275 \h </w:instrText>
      </w:r>
      <w:r>
        <w:rPr>
          <w:noProof/>
        </w:rPr>
      </w:r>
      <w:r>
        <w:rPr>
          <w:noProof/>
        </w:rPr>
        <w:fldChar w:fldCharType="separate"/>
      </w:r>
      <w:r>
        <w:rPr>
          <w:noProof/>
        </w:rPr>
        <w:t>11</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t>L</w:t>
      </w:r>
      <w:r>
        <w:rPr>
          <w:rFonts w:asciiTheme="minorHAnsi" w:eastAsiaTheme="minorEastAsia" w:hAnsiTheme="minorHAnsi" w:cstheme="minorBidi"/>
          <w:noProof/>
          <w:sz w:val="22"/>
          <w:szCs w:val="22"/>
        </w:rPr>
        <w:tab/>
      </w:r>
      <w:r>
        <w:rPr>
          <w:noProof/>
        </w:rPr>
        <w:t>Summary of Data Obtained After the Taxable Year End</w:t>
      </w:r>
      <w:r>
        <w:rPr>
          <w:noProof/>
        </w:rPr>
        <w:tab/>
      </w:r>
      <w:r>
        <w:rPr>
          <w:noProof/>
        </w:rPr>
        <w:fldChar w:fldCharType="begin"/>
      </w:r>
      <w:r>
        <w:rPr>
          <w:noProof/>
        </w:rPr>
        <w:instrText xml:space="preserve"> PAGEREF _Toc327559276 \h </w:instrText>
      </w:r>
      <w:r>
        <w:rPr>
          <w:noProof/>
        </w:rPr>
      </w:r>
      <w:r>
        <w:rPr>
          <w:noProof/>
        </w:rPr>
        <w:fldChar w:fldCharType="separate"/>
      </w:r>
      <w:r>
        <w:rPr>
          <w:noProof/>
        </w:rPr>
        <w:t>12</w:t>
      </w:r>
      <w:r>
        <w:rPr>
          <w:noProof/>
        </w:rPr>
        <w:fldChar w:fldCharType="end"/>
      </w:r>
    </w:p>
    <w:p w:rsidR="00E10D7F" w:rsidRDefault="00E10D7F" w:rsidP="00E10D7F">
      <w:pPr>
        <w:pStyle w:val="TOC1"/>
        <w:rPr>
          <w:rFonts w:asciiTheme="minorHAnsi" w:eastAsiaTheme="minorEastAsia" w:hAnsiTheme="minorHAnsi" w:cstheme="minorBidi"/>
          <w:noProof/>
          <w:sz w:val="22"/>
          <w:szCs w:val="22"/>
        </w:rPr>
      </w:pPr>
      <w:r>
        <w:rPr>
          <w:noProof/>
        </w:rPr>
        <w:t>M</w:t>
      </w:r>
      <w:r>
        <w:rPr>
          <w:rFonts w:asciiTheme="minorHAnsi" w:eastAsiaTheme="minorEastAsia" w:hAnsiTheme="minorHAnsi" w:cstheme="minorBidi"/>
          <w:noProof/>
          <w:sz w:val="22"/>
          <w:szCs w:val="22"/>
        </w:rPr>
        <w:tab/>
      </w:r>
      <w:r>
        <w:rPr>
          <w:noProof/>
        </w:rPr>
        <w:t>Intercompany Agreements</w:t>
      </w:r>
      <w:r>
        <w:rPr>
          <w:noProof/>
        </w:rPr>
        <w:tab/>
      </w:r>
      <w:r>
        <w:rPr>
          <w:noProof/>
        </w:rPr>
        <w:fldChar w:fldCharType="begin"/>
      </w:r>
      <w:r>
        <w:rPr>
          <w:noProof/>
        </w:rPr>
        <w:instrText xml:space="preserve"> PAGEREF _Toc327559277 \h </w:instrText>
      </w:r>
      <w:r>
        <w:rPr>
          <w:noProof/>
        </w:rPr>
      </w:r>
      <w:r>
        <w:rPr>
          <w:noProof/>
        </w:rPr>
        <w:fldChar w:fldCharType="separate"/>
      </w:r>
      <w:r>
        <w:rPr>
          <w:noProof/>
        </w:rPr>
        <w:t>13</w:t>
      </w:r>
      <w:r>
        <w:rPr>
          <w:noProof/>
        </w:rPr>
        <w:fldChar w:fldCharType="end"/>
      </w:r>
    </w:p>
    <w:p w:rsidR="00E10D7F" w:rsidRPr="007F3E3D" w:rsidRDefault="00E10D7F" w:rsidP="00E10D7F">
      <w:pPr>
        <w:sectPr w:rsidR="00E10D7F" w:rsidRPr="007F3E3D" w:rsidSect="00E10D7F">
          <w:headerReference w:type="default" r:id="rId8"/>
          <w:footerReference w:type="default" r:id="rId9"/>
          <w:pgSz w:w="12240" w:h="15840" w:code="1"/>
          <w:pgMar w:top="2837" w:right="1469" w:bottom="1584" w:left="1469" w:header="1080" w:footer="706" w:gutter="461"/>
          <w:pgNumType w:fmt="lowerRoman" w:start="1"/>
          <w:cols w:space="737"/>
        </w:sectPr>
      </w:pPr>
      <w:r w:rsidRPr="007F3E3D">
        <w:rPr>
          <w:sz w:val="28"/>
        </w:rPr>
        <w:fldChar w:fldCharType="end"/>
      </w:r>
    </w:p>
    <w:p w:rsidR="00E10D7F" w:rsidRPr="009B1F8E"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rPr>
          <w:b/>
          <w:sz w:val="32"/>
          <w:szCs w:val="32"/>
        </w:rPr>
      </w:pPr>
      <w:bookmarkStart w:id="0" w:name="Text"/>
      <w:bookmarkStart w:id="1" w:name="_Toc74107934"/>
      <w:bookmarkStart w:id="2" w:name="_Toc155939707"/>
      <w:bookmarkStart w:id="3" w:name="_Toc155941682"/>
      <w:bookmarkStart w:id="4" w:name="_Toc200781308"/>
      <w:bookmarkEnd w:id="0"/>
      <w:r w:rsidRPr="009B1F8E">
        <w:rPr>
          <w:b/>
          <w:sz w:val="32"/>
          <w:szCs w:val="32"/>
        </w:rPr>
        <w:lastRenderedPageBreak/>
        <w:t>NOTE:</w:t>
      </w:r>
    </w:p>
    <w:p w:rsidR="00E10D7F" w:rsidRPr="00013BFF" w:rsidRDefault="00E10D7F" w:rsidP="00E10D7F">
      <w:pPr>
        <w:pStyle w:val="BodyText"/>
        <w:numPr>
          <w:ilvl w:val="0"/>
          <w:numId w:val="17"/>
        </w:numPr>
        <w:pBdr>
          <w:top w:val="single" w:sz="4" w:space="1" w:color="auto"/>
          <w:left w:val="single" w:sz="4" w:space="4" w:color="auto"/>
          <w:bottom w:val="single" w:sz="4" w:space="1" w:color="auto"/>
          <w:right w:val="single" w:sz="4" w:space="4" w:color="auto"/>
        </w:pBdr>
        <w:shd w:val="clear" w:color="auto" w:fill="D9D9D9" w:themeFill="background1" w:themeFillShade="D9"/>
      </w:pPr>
      <w:r w:rsidRPr="009B1F8E">
        <w:t xml:space="preserve">AT THE BEGINNING OF EACH SECTION, THERE IS A LIST OF TOPICS COVERED IN THE TECHNICAL GUIDANCE TO THAT SECTION WITH A LINK TO THE GUDANCE PAGE ON THE WIKI.  EACH GUIDANCE PAGE ON THE WIKI HAS LINKS TO OTHER USEFUL RESOURCES ON THE TOPIC.  </w:t>
      </w:r>
      <w:r w:rsidRPr="009B1F8E">
        <w:rPr>
          <w:b/>
          <w:u w:val="single"/>
        </w:rPr>
        <w:t>PLEASE MAKE FULL AND FREQUENT USE OF THESE RESOURCES.</w:t>
      </w:r>
    </w:p>
    <w:p w:rsidR="00E10D7F" w:rsidRPr="009B1F8E" w:rsidRDefault="00E10D7F" w:rsidP="00E10D7F">
      <w:pPr>
        <w:pStyle w:val="BodyText"/>
        <w:numPr>
          <w:ilvl w:val="0"/>
          <w:numId w:val="17"/>
        </w:numPr>
        <w:pBdr>
          <w:top w:val="single" w:sz="4" w:space="1" w:color="auto"/>
          <w:left w:val="single" w:sz="4" w:space="4" w:color="auto"/>
          <w:bottom w:val="single" w:sz="4" w:space="1" w:color="auto"/>
          <w:right w:val="single" w:sz="4" w:space="4" w:color="auto"/>
        </w:pBdr>
        <w:shd w:val="clear" w:color="auto" w:fill="D9D9D9" w:themeFill="background1" w:themeFillShade="D9"/>
      </w:pPr>
      <w:r>
        <w:t>THE DOCUMENT ALSO INCLUDES COMMENTS OR HYPERLINKS (IN BLUE) TO RELEVANT WIKI PAGES.</w:t>
      </w:r>
    </w:p>
    <w:p w:rsidR="00E10D7F" w:rsidRPr="009B1F8E" w:rsidRDefault="00E10D7F" w:rsidP="00E10D7F">
      <w:pPr>
        <w:pStyle w:val="BodyText"/>
        <w:numPr>
          <w:ilvl w:val="0"/>
          <w:numId w:val="17"/>
        </w:numPr>
        <w:pBdr>
          <w:top w:val="single" w:sz="4" w:space="1" w:color="auto"/>
          <w:left w:val="single" w:sz="4" w:space="4" w:color="auto"/>
          <w:bottom w:val="single" w:sz="4" w:space="1" w:color="auto"/>
          <w:right w:val="single" w:sz="4" w:space="4" w:color="auto"/>
        </w:pBdr>
        <w:shd w:val="clear" w:color="auto" w:fill="D9D9D9" w:themeFill="background1" w:themeFillShade="D9"/>
      </w:pPr>
      <w:r w:rsidRPr="009B1F8E">
        <w:t>THIS REPORT IS A SAMPLE REPORT BASED ON FACTS AND CIRCUMSTANCES AS PRESENTED IN THE REPORT.  IT WILL NEED TO BE MODIFIED TO FIT THE SPECIAL CIRCUMSTANCES SURROUNDING THE TRANSACTIONS YOU ARE EVALUATING.</w:t>
      </w:r>
    </w:p>
    <w:p w:rsidR="00E10D7F" w:rsidRPr="009B1F8E" w:rsidRDefault="00E10D7F" w:rsidP="00E10D7F">
      <w:pPr>
        <w:pStyle w:val="BodyText"/>
        <w:numPr>
          <w:ilvl w:val="0"/>
          <w:numId w:val="17"/>
        </w:numPr>
        <w:pBdr>
          <w:top w:val="single" w:sz="4" w:space="1" w:color="auto"/>
          <w:left w:val="single" w:sz="4" w:space="4" w:color="auto"/>
          <w:bottom w:val="single" w:sz="4" w:space="1" w:color="auto"/>
          <w:right w:val="single" w:sz="4" w:space="4" w:color="auto"/>
        </w:pBdr>
        <w:shd w:val="clear" w:color="auto" w:fill="D9D9D9" w:themeFill="background1" w:themeFillShade="D9"/>
      </w:pPr>
      <w:r w:rsidRPr="009B1F8E">
        <w:t>SEVERAL SECTIONS NOW PRESENT INFORMATION IN A TABULAR FORM. AT THE OPTION OF THE ENGAGEMENT TEAM, THIS INFORMATION MAY ALTERNATIVELY BE PRESENTED IN THE TRADITIONAL TEXT FORM.  THE TECHNICAL GUIDANCE TO THIS REPORT INCLUDES SAMPLE LANGUAGE.</w:t>
      </w:r>
    </w:p>
    <w:p w:rsidR="00E10D7F" w:rsidRPr="009B1F8E" w:rsidRDefault="00E10D7F" w:rsidP="00E10D7F">
      <w:pPr>
        <w:pStyle w:val="BodyText"/>
        <w:numPr>
          <w:ilvl w:val="0"/>
          <w:numId w:val="17"/>
        </w:numPr>
        <w:pBdr>
          <w:top w:val="single" w:sz="4" w:space="1" w:color="auto"/>
          <w:left w:val="single" w:sz="4" w:space="4" w:color="auto"/>
          <w:bottom w:val="single" w:sz="4" w:space="1" w:color="auto"/>
          <w:right w:val="single" w:sz="4" w:space="4" w:color="auto"/>
        </w:pBdr>
        <w:shd w:val="clear" w:color="auto" w:fill="D9D9D9" w:themeFill="background1" w:themeFillShade="D9"/>
      </w:pPr>
      <w:r w:rsidRPr="009B1F8E">
        <w:t>THE FACTS IN THIS REPORT HAVE BEEN MADE UP. DO NOT RELY ON THIS REPORT FOR FACTUAL INFORMATION ON COMPANIES, THE CHEMICAL INDUSTRY, PEER COMPANIES, FUNCTIONS, MARKETS AND RISKS, OR ANY OTHER INFORMATION.  THE OBJECTIVE OF THIS REPORT IS TO PROVIDE AN EXAMPLE OF HOW A SIMPLE REPORT MAY BE WRITTEN, NOT TO HIGHLIGHT FACTUAL INFORMATION.</w:t>
      </w:r>
    </w:p>
    <w:p w:rsidR="00E10D7F" w:rsidRPr="00B77589" w:rsidRDefault="00E10D7F" w:rsidP="00E10D7F">
      <w:pPr>
        <w:pStyle w:val="BodyText"/>
        <w:numPr>
          <w:ilvl w:val="0"/>
          <w:numId w:val="17"/>
        </w:numPr>
        <w:pBdr>
          <w:top w:val="single" w:sz="4" w:space="1" w:color="auto"/>
          <w:left w:val="single" w:sz="4" w:space="4" w:color="auto"/>
          <w:bottom w:val="single" w:sz="4" w:space="1" w:color="auto"/>
          <w:right w:val="single" w:sz="4" w:space="4" w:color="auto"/>
        </w:pBdr>
        <w:shd w:val="clear" w:color="auto" w:fill="D9D9D9" w:themeFill="background1" w:themeFillShade="D9"/>
      </w:pPr>
      <w:r w:rsidRPr="009B1F8E">
        <w:t xml:space="preserve">THIS STANDARD REPORT IS A GUIDE TO WRITING A SIMPLE REPORT.  IT DOES NOT ADDRESS ALL ISSUES THAT MAY ARISE. THERE IS SIGNIFICANT ADDITIONAL GUIDANCE ON VARIOUS ISSUES THAT MAY ARISE AND </w:t>
      </w:r>
      <w:r w:rsidRPr="00B77589">
        <w:t xml:space="preserve">ALTERNATIVE LAYOUTS FOR THE CHAPTERS IN THE WIKI.  </w:t>
      </w:r>
    </w:p>
    <w:p w:rsidR="00E10D7F" w:rsidRPr="00B77589" w:rsidRDefault="00E10D7F" w:rsidP="00E10D7F">
      <w:pPr>
        <w:pStyle w:val="BodyText"/>
        <w:numPr>
          <w:ilvl w:val="0"/>
          <w:numId w:val="17"/>
        </w:numPr>
        <w:pBdr>
          <w:top w:val="single" w:sz="4" w:space="1" w:color="auto"/>
          <w:left w:val="single" w:sz="4" w:space="4" w:color="auto"/>
          <w:bottom w:val="single" w:sz="4" w:space="1" w:color="auto"/>
          <w:right w:val="single" w:sz="4" w:space="4" w:color="auto"/>
        </w:pBdr>
        <w:shd w:val="clear" w:color="auto" w:fill="D9D9D9" w:themeFill="background1" w:themeFillShade="D9"/>
      </w:pPr>
      <w:r w:rsidRPr="00B77589">
        <w:t>TO DELETE ALL COMMENTS FROM THE DOCUMENT, GO TO THE REVIEW TAB-COMMENTS-DELETE-DELETE ALL COMMENTS IN DOCUMENT.</w:t>
      </w:r>
    </w:p>
    <w:p w:rsidR="00E10D7F" w:rsidRPr="00B77589" w:rsidRDefault="00E10D7F" w:rsidP="00E10D7F">
      <w:pPr>
        <w:pStyle w:val="BodyText"/>
        <w:numPr>
          <w:ilvl w:val="0"/>
          <w:numId w:val="17"/>
        </w:numPr>
        <w:pBdr>
          <w:top w:val="single" w:sz="4" w:space="1" w:color="auto"/>
          <w:left w:val="single" w:sz="4" w:space="4" w:color="auto"/>
          <w:bottom w:val="single" w:sz="4" w:space="1" w:color="auto"/>
          <w:right w:val="single" w:sz="4" w:space="4" w:color="auto"/>
        </w:pBdr>
        <w:shd w:val="clear" w:color="auto" w:fill="D9D9D9" w:themeFill="background1" w:themeFillShade="D9"/>
      </w:pPr>
      <w:r w:rsidRPr="00B77589">
        <w:t xml:space="preserve">TO DELETE ALL HYPERLINKS FROM THE DOCUMENT, PLACE CURSOR AT THE BEGINNING OF THE SECTION 1 HEADER.  THEN PRESS CNTRL+SHIFT+END TO SELECT ALL THE TEXT FOLLOWING THE TABLE OF CONTENTS.  THEN PRESS CNTRL+SHIFT+F9 TO DELETE ALL HYPERLINKS.  PLEASE NOTE THAT THIS WILL REMOVE CROSS REFERENCE LINKS TO TABLES AND SECTIONS ALSO.  SO IT IS SUGGESTED THAT YOU PERFORM THIS STEP JUST BEFORE FINALIZING THE REPORT. </w:t>
      </w:r>
    </w:p>
    <w:p w:rsidR="00E10D7F" w:rsidRPr="009B1F8E" w:rsidRDefault="00E10D7F" w:rsidP="00E10D7F">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pPr>
    </w:p>
    <w:p w:rsidR="00E10D7F" w:rsidRDefault="00E10D7F" w:rsidP="00E10D7F">
      <w:pPr>
        <w:rPr>
          <w:b/>
          <w:i/>
          <w:color w:val="4F81BD" w:themeColor="accent1"/>
        </w:rPr>
      </w:pPr>
      <w:r>
        <w:rPr>
          <w:b/>
          <w:i/>
          <w:color w:val="4F81BD" w:themeColor="accent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tblPr>
      <w:tblGrid>
        <w:gridCol w:w="9054"/>
      </w:tblGrid>
      <w:tr w:rsidR="00E10D7F" w:rsidTr="00E10D7F">
        <w:tc>
          <w:tcPr>
            <w:tcW w:w="9054" w:type="dxa"/>
            <w:shd w:val="clear" w:color="auto" w:fill="D9D9D9" w:themeFill="background1" w:themeFillShade="D9"/>
          </w:tcPr>
          <w:p w:rsidR="00E10D7F" w:rsidRPr="00E10D7F" w:rsidRDefault="00E10D7F" w:rsidP="00E10D7F">
            <w:pPr>
              <w:pStyle w:val="BodyText0"/>
              <w:widowControl w:val="0"/>
              <w:adjustRightInd w:val="0"/>
              <w:textAlignment w:val="baseline"/>
              <w:rPr>
                <w:b/>
                <w:sz w:val="32"/>
                <w:szCs w:val="32"/>
              </w:rPr>
            </w:pPr>
            <w:r w:rsidRPr="00E10D7F">
              <w:rPr>
                <w:b/>
                <w:sz w:val="32"/>
                <w:szCs w:val="32"/>
              </w:rPr>
              <w:lastRenderedPageBreak/>
              <w:t>FAQs: [To be expanded]</w:t>
            </w:r>
          </w:p>
          <w:p w:rsidR="00E10D7F" w:rsidRPr="00E10D7F" w:rsidRDefault="00E10D7F" w:rsidP="00E10D7F">
            <w:pPr>
              <w:pStyle w:val="BodyText0"/>
              <w:widowControl w:val="0"/>
              <w:numPr>
                <w:ilvl w:val="0"/>
                <w:numId w:val="26"/>
              </w:numPr>
              <w:adjustRightInd w:val="0"/>
              <w:spacing w:line="360" w:lineRule="atLeast"/>
              <w:textAlignment w:val="baseline"/>
              <w:rPr>
                <w:i/>
                <w:sz w:val="20"/>
              </w:rPr>
            </w:pPr>
            <w:bookmarkStart w:id="5" w:name="_Ref295836866"/>
            <w:r w:rsidRPr="00E10D7F">
              <w:rPr>
                <w:i/>
                <w:sz w:val="20"/>
              </w:rPr>
              <w:t>How should the standard report be used if we are just doing a benchmarking study and not other economic analysis (e.g., functional analysis, selection of best method)?</w:t>
            </w:r>
            <w:bookmarkEnd w:id="5"/>
          </w:p>
          <w:p w:rsidR="00E10D7F" w:rsidRPr="00E10D7F" w:rsidRDefault="00E10D7F" w:rsidP="00E10D7F">
            <w:pPr>
              <w:pStyle w:val="BodyText0"/>
              <w:widowControl w:val="0"/>
              <w:adjustRightInd w:val="0"/>
              <w:ind w:left="360"/>
              <w:textAlignment w:val="baseline"/>
              <w:rPr>
                <w:sz w:val="20"/>
              </w:rPr>
            </w:pPr>
            <w:r w:rsidRPr="00E10D7F">
              <w:rPr>
                <w:sz w:val="20"/>
              </w:rPr>
              <w:t xml:space="preserve">Our report should only include analyses that we have actually conducted.  If we perform a benchmarking study without performing a functional analysis or selection of best method, our report should not include those sections. </w:t>
            </w:r>
          </w:p>
          <w:p w:rsidR="00E10D7F" w:rsidRPr="00E10D7F" w:rsidRDefault="00E10D7F" w:rsidP="00E10D7F">
            <w:pPr>
              <w:pStyle w:val="BodyText0"/>
              <w:widowControl w:val="0"/>
              <w:numPr>
                <w:ilvl w:val="0"/>
                <w:numId w:val="26"/>
              </w:numPr>
              <w:adjustRightInd w:val="0"/>
              <w:spacing w:line="360" w:lineRule="atLeast"/>
              <w:textAlignment w:val="baseline"/>
              <w:rPr>
                <w:i/>
                <w:sz w:val="20"/>
              </w:rPr>
            </w:pPr>
            <w:r w:rsidRPr="00E10D7F">
              <w:rPr>
                <w:i/>
                <w:sz w:val="20"/>
              </w:rPr>
              <w:t>How does an analysis prepared for a planning study differ from one that is used in a documentation study?</w:t>
            </w:r>
          </w:p>
          <w:p w:rsidR="00E10D7F" w:rsidRPr="00E10D7F" w:rsidRDefault="00E10D7F" w:rsidP="00E10D7F">
            <w:pPr>
              <w:pStyle w:val="BodyText0"/>
              <w:widowControl w:val="0"/>
              <w:adjustRightInd w:val="0"/>
              <w:ind w:left="360"/>
              <w:textAlignment w:val="baseline"/>
              <w:rPr>
                <w:i/>
                <w:color w:val="4F81BD" w:themeColor="accent1"/>
                <w:sz w:val="20"/>
              </w:rPr>
            </w:pPr>
            <w:r w:rsidRPr="00E10D7F">
              <w:rPr>
                <w:sz w:val="20"/>
              </w:rPr>
              <w:t>There is really no difference in the analysis prepared for a planning study versus a documentation study other than possibly not having year-end financial data.</w:t>
            </w:r>
          </w:p>
        </w:tc>
      </w:tr>
    </w:tbl>
    <w:p w:rsidR="00E10D7F" w:rsidRDefault="00E10D7F" w:rsidP="00E10D7F">
      <w:pPr>
        <w:pStyle w:val="BodyText"/>
        <w:rPr>
          <w:b/>
          <w:i/>
          <w:color w:val="4F81BD" w:themeColor="accent1"/>
        </w:rPr>
      </w:pPr>
    </w:p>
    <w:p w:rsidR="00E10D7F" w:rsidRDefault="00E10D7F" w:rsidP="00E10D7F">
      <w:pPr>
        <w:rPr>
          <w:b/>
          <w:i/>
          <w:color w:val="4F81BD" w:themeColor="accent1"/>
        </w:rPr>
      </w:pPr>
      <w:r>
        <w:rPr>
          <w:b/>
          <w:i/>
          <w:color w:val="4F81BD" w:themeColor="accent1"/>
        </w:rPr>
        <w:br w:type="page"/>
      </w:r>
    </w:p>
    <w:p w:rsidR="00E10D7F" w:rsidRDefault="00E10D7F" w:rsidP="00E10D7F">
      <w:pPr>
        <w:pStyle w:val="BodyText0"/>
        <w:rPr>
          <w:b/>
          <w:i/>
          <w:color w:val="4F81BD" w:themeColor="accent1"/>
        </w:rPr>
      </w:pPr>
      <w:r w:rsidRPr="009B295C">
        <w:rPr>
          <w:b/>
          <w:i/>
          <w:color w:val="4F81BD" w:themeColor="accent1"/>
        </w:rPr>
        <w:lastRenderedPageBreak/>
        <w:t>[OPTIONAL]</w:t>
      </w:r>
    </w:p>
    <w:p w:rsidR="00E10D7F" w:rsidRDefault="00E10D7F" w:rsidP="00E10D7F">
      <w:pPr>
        <w:pStyle w:val="BodyText0"/>
      </w:pPr>
      <w:r w:rsidRPr="00304796">
        <w:t>The following is a list of acronyms used in this report.</w:t>
      </w:r>
    </w:p>
    <w:p w:rsidR="00E10D7F" w:rsidRDefault="00E10D7F" w:rsidP="00E10D7F">
      <w:pPr>
        <w:pStyle w:val="Caption"/>
        <w:keepNext/>
        <w:keepLines/>
        <w:spacing w:before="120" w:after="120"/>
        <w:jc w:val="center"/>
        <w:rPr>
          <w:szCs w:val="22"/>
        </w:rPr>
      </w:pPr>
      <w:r w:rsidRPr="009B295C">
        <w:rPr>
          <w:szCs w:val="22"/>
        </w:rPr>
        <w:t xml:space="preserve">Table </w:t>
      </w:r>
      <w:r w:rsidRPr="009B295C">
        <w:rPr>
          <w:szCs w:val="22"/>
        </w:rPr>
        <w:fldChar w:fldCharType="begin"/>
      </w:r>
      <w:r w:rsidRPr="009B295C">
        <w:rPr>
          <w:szCs w:val="22"/>
        </w:rPr>
        <w:instrText xml:space="preserve"> SEQ Table \* ARABIC </w:instrText>
      </w:r>
      <w:r w:rsidRPr="009B295C">
        <w:rPr>
          <w:szCs w:val="22"/>
        </w:rPr>
        <w:fldChar w:fldCharType="separate"/>
      </w:r>
      <w:r>
        <w:rPr>
          <w:noProof/>
          <w:szCs w:val="22"/>
        </w:rPr>
        <w:t>1</w:t>
      </w:r>
      <w:r w:rsidRPr="009B295C">
        <w:rPr>
          <w:szCs w:val="22"/>
        </w:rPr>
        <w:fldChar w:fldCharType="end"/>
      </w:r>
      <w:r w:rsidRPr="009B295C">
        <w:rPr>
          <w:szCs w:val="22"/>
        </w:rPr>
        <w:t>:</w:t>
      </w:r>
      <w:r>
        <w:rPr>
          <w:szCs w:val="22"/>
        </w:rPr>
        <w:t xml:space="preserve"> </w:t>
      </w:r>
      <w:r w:rsidRPr="00FC020E">
        <w:t xml:space="preserve"> </w:t>
      </w:r>
      <w:r>
        <w:rPr>
          <w:szCs w:val="22"/>
        </w:rPr>
        <w:t>List of Acronyms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0"/>
        <w:gridCol w:w="6930"/>
      </w:tblGrid>
      <w:tr w:rsidR="00E10D7F" w:rsidRPr="00F57CAF" w:rsidTr="00E10D7F">
        <w:trPr>
          <w:trHeight w:hRule="exact" w:val="317"/>
        </w:trPr>
        <w:tc>
          <w:tcPr>
            <w:tcW w:w="1890" w:type="dxa"/>
            <w:shd w:val="clear" w:color="auto" w:fill="auto"/>
            <w:vAlign w:val="center"/>
          </w:tcPr>
          <w:p w:rsidR="00E10D7F" w:rsidRPr="00F57CAF" w:rsidRDefault="00E10D7F" w:rsidP="00E10D7F">
            <w:pPr>
              <w:pStyle w:val="BodyText0"/>
              <w:spacing w:before="0" w:after="0"/>
              <w:jc w:val="center"/>
              <w:rPr>
                <w:b/>
              </w:rPr>
            </w:pPr>
            <w:r w:rsidRPr="00F57CAF">
              <w:rPr>
                <w:b/>
              </w:rPr>
              <w:t>Acronym</w:t>
            </w:r>
          </w:p>
        </w:tc>
        <w:tc>
          <w:tcPr>
            <w:tcW w:w="6930" w:type="dxa"/>
            <w:shd w:val="clear" w:color="auto" w:fill="auto"/>
            <w:vAlign w:val="center"/>
          </w:tcPr>
          <w:p w:rsidR="00E10D7F" w:rsidRPr="00F57CAF" w:rsidRDefault="00E10D7F" w:rsidP="00E10D7F">
            <w:pPr>
              <w:pStyle w:val="BodyText0"/>
              <w:spacing w:before="0" w:after="0"/>
              <w:jc w:val="center"/>
              <w:rPr>
                <w:b/>
              </w:rPr>
            </w:pPr>
            <w:r w:rsidRPr="00F57CAF">
              <w:rPr>
                <w:b/>
              </w:rPr>
              <w:t>Description</w:t>
            </w:r>
          </w:p>
        </w:tc>
      </w:tr>
      <w:tr w:rsidR="00E10D7F" w:rsidRPr="00FC020E" w:rsidTr="00E10D7F">
        <w:trPr>
          <w:trHeight w:hRule="exact" w:val="317"/>
        </w:trPr>
        <w:tc>
          <w:tcPr>
            <w:tcW w:w="189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§482 regulations</w:t>
            </w:r>
          </w:p>
        </w:tc>
        <w:tc>
          <w:tcPr>
            <w:tcW w:w="693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Regulations under section 482 of the Internal Revenue Code</w:t>
            </w:r>
          </w:p>
        </w:tc>
      </w:tr>
      <w:tr w:rsidR="00E10D7F" w:rsidRPr="00FC020E" w:rsidTr="00E10D7F">
        <w:trPr>
          <w:trHeight w:hRule="exact" w:val="317"/>
        </w:trPr>
        <w:tc>
          <w:tcPr>
            <w:tcW w:w="189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Amadeus</w:t>
            </w:r>
          </w:p>
        </w:tc>
        <w:tc>
          <w:tcPr>
            <w:tcW w:w="693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Bureau van Dijk’s Amadeus database</w:t>
            </w:r>
          </w:p>
        </w:tc>
      </w:tr>
      <w:tr w:rsidR="00E10D7F" w:rsidRPr="00FC020E" w:rsidTr="00E10D7F">
        <w:trPr>
          <w:trHeight w:hRule="exact" w:val="317"/>
        </w:trPr>
        <w:tc>
          <w:tcPr>
            <w:tcW w:w="1890" w:type="dxa"/>
          </w:tcPr>
          <w:p w:rsidR="00E10D7F" w:rsidRPr="00FC020E"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CANCO</w:t>
            </w:r>
          </w:p>
        </w:tc>
        <w:tc>
          <w:tcPr>
            <w:tcW w:w="6930" w:type="dxa"/>
          </w:tcPr>
          <w:p w:rsidR="00E10D7F" w:rsidRPr="00FC020E"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Foreign Company Canada</w:t>
            </w:r>
          </w:p>
        </w:tc>
      </w:tr>
      <w:tr w:rsidR="00E10D7F" w:rsidRPr="00FC020E" w:rsidTr="00E10D7F">
        <w:trPr>
          <w:trHeight w:hRule="exact" w:val="317"/>
        </w:trPr>
        <w:tc>
          <w:tcPr>
            <w:tcW w:w="189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CIF</w:t>
            </w:r>
          </w:p>
        </w:tc>
        <w:tc>
          <w:tcPr>
            <w:tcW w:w="693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Cost, insurance, freight</w:t>
            </w:r>
          </w:p>
        </w:tc>
      </w:tr>
      <w:tr w:rsidR="00E10D7F" w:rsidRPr="00FC020E" w:rsidTr="00E10D7F">
        <w:trPr>
          <w:trHeight w:hRule="exact" w:val="317"/>
        </w:trPr>
        <w:tc>
          <w:tcPr>
            <w:tcW w:w="189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Compustat</w:t>
            </w:r>
          </w:p>
        </w:tc>
        <w:tc>
          <w:tcPr>
            <w:tcW w:w="693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Standard &amp; Poor’s Compustat North America database</w:t>
            </w:r>
          </w:p>
        </w:tc>
      </w:tr>
      <w:tr w:rsidR="00E10D7F" w:rsidRPr="00FC020E" w:rsidTr="00E10D7F">
        <w:trPr>
          <w:trHeight w:hRule="exact" w:val="317"/>
        </w:trPr>
        <w:tc>
          <w:tcPr>
            <w:tcW w:w="189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Compustat Global</w:t>
            </w:r>
          </w:p>
        </w:tc>
        <w:tc>
          <w:tcPr>
            <w:tcW w:w="693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Standard &amp; Poor’s Compustat Global database</w:t>
            </w:r>
          </w:p>
        </w:tc>
      </w:tr>
      <w:tr w:rsidR="00E10D7F" w:rsidRPr="00FC020E" w:rsidTr="00E10D7F">
        <w:trPr>
          <w:trHeight w:hRule="exact" w:val="317"/>
        </w:trPr>
        <w:tc>
          <w:tcPr>
            <w:tcW w:w="189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CPLM</w:t>
            </w:r>
          </w:p>
        </w:tc>
        <w:tc>
          <w:tcPr>
            <w:tcW w:w="693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Cost plus method</w:t>
            </w:r>
          </w:p>
        </w:tc>
      </w:tr>
      <w:tr w:rsidR="00E10D7F" w:rsidRPr="00FC020E" w:rsidTr="00E10D7F">
        <w:trPr>
          <w:trHeight w:hRule="exact" w:val="317"/>
        </w:trPr>
        <w:tc>
          <w:tcPr>
            <w:tcW w:w="1890" w:type="dxa"/>
          </w:tcPr>
          <w:p w:rsidR="00E10D7F" w:rsidRPr="00FC020E"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CPM</w:t>
            </w:r>
          </w:p>
        </w:tc>
        <w:tc>
          <w:tcPr>
            <w:tcW w:w="6930" w:type="dxa"/>
          </w:tcPr>
          <w:p w:rsidR="00E10D7F" w:rsidRPr="00FC020E"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Comparable profits method</w:t>
            </w:r>
          </w:p>
        </w:tc>
      </w:tr>
      <w:tr w:rsidR="00E10D7F" w:rsidRPr="00FC020E" w:rsidTr="00E10D7F">
        <w:trPr>
          <w:trHeight w:hRule="exact" w:val="317"/>
        </w:trPr>
        <w:tc>
          <w:tcPr>
            <w:tcW w:w="1890" w:type="dxa"/>
          </w:tcPr>
          <w:p w:rsidR="00E10D7F" w:rsidRPr="00FC020E"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CUP</w:t>
            </w:r>
          </w:p>
        </w:tc>
        <w:tc>
          <w:tcPr>
            <w:tcW w:w="6930" w:type="dxa"/>
          </w:tcPr>
          <w:p w:rsidR="00E10D7F" w:rsidRPr="00FC020E"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Comparable uncontrolled price</w:t>
            </w:r>
          </w:p>
        </w:tc>
      </w:tr>
      <w:tr w:rsidR="00E10D7F" w:rsidRPr="00FC020E" w:rsidTr="00E10D7F">
        <w:trPr>
          <w:trHeight w:hRule="exact" w:val="317"/>
        </w:trPr>
        <w:tc>
          <w:tcPr>
            <w:tcW w:w="1890" w:type="dxa"/>
          </w:tcPr>
          <w:p w:rsidR="00E10D7F" w:rsidRPr="00FC020E"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USCO</w:t>
            </w:r>
          </w:p>
        </w:tc>
        <w:tc>
          <w:tcPr>
            <w:tcW w:w="6930" w:type="dxa"/>
          </w:tcPr>
          <w:p w:rsidR="00E10D7F" w:rsidRPr="00FC020E"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Company X, Inc.</w:t>
            </w:r>
          </w:p>
        </w:tc>
      </w:tr>
      <w:tr w:rsidR="00E10D7F" w:rsidRPr="00FC020E" w:rsidTr="00E10D7F">
        <w:trPr>
          <w:trHeight w:hRule="exact" w:val="317"/>
        </w:trPr>
        <w:tc>
          <w:tcPr>
            <w:tcW w:w="189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FOB</w:t>
            </w:r>
          </w:p>
        </w:tc>
        <w:tc>
          <w:tcPr>
            <w:tcW w:w="693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Freight on board</w:t>
            </w:r>
          </w:p>
        </w:tc>
      </w:tr>
      <w:tr w:rsidR="00E10D7F" w:rsidRPr="00FC020E" w:rsidTr="00E10D7F">
        <w:trPr>
          <w:trHeight w:hRule="exact" w:val="317"/>
        </w:trPr>
        <w:tc>
          <w:tcPr>
            <w:tcW w:w="189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FY10</w:t>
            </w:r>
          </w:p>
        </w:tc>
        <w:tc>
          <w:tcPr>
            <w:tcW w:w="693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Taxable year ended December 31, 2010</w:t>
            </w:r>
          </w:p>
        </w:tc>
      </w:tr>
      <w:tr w:rsidR="00E10D7F" w:rsidRPr="00FC020E" w:rsidTr="00E10D7F">
        <w:trPr>
          <w:trHeight w:hRule="exact" w:val="317"/>
        </w:trPr>
        <w:tc>
          <w:tcPr>
            <w:tcW w:w="1890" w:type="dxa"/>
          </w:tcPr>
          <w:p w:rsidR="00E10D7F" w:rsidRPr="00FC020E"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GERCO</w:t>
            </w:r>
          </w:p>
        </w:tc>
        <w:tc>
          <w:tcPr>
            <w:tcW w:w="6930" w:type="dxa"/>
          </w:tcPr>
          <w:p w:rsidR="00E10D7F" w:rsidRPr="00FC020E"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Foreign Company Germany</w:t>
            </w:r>
          </w:p>
        </w:tc>
      </w:tr>
      <w:tr w:rsidR="00E10D7F" w:rsidRPr="00FC020E" w:rsidTr="00E10D7F">
        <w:trPr>
          <w:trHeight w:hRule="exact" w:val="317"/>
        </w:trPr>
        <w:tc>
          <w:tcPr>
            <w:tcW w:w="1890" w:type="dxa"/>
          </w:tcPr>
          <w:p w:rsidR="00E10D7F" w:rsidRPr="00FC020E"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GPPS</w:t>
            </w:r>
          </w:p>
        </w:tc>
        <w:tc>
          <w:tcPr>
            <w:tcW w:w="6930" w:type="dxa"/>
          </w:tcPr>
          <w:p w:rsidR="00E10D7F" w:rsidRPr="00FC020E" w:rsidRDefault="00E10D7F" w:rsidP="00E10D7F">
            <w:pPr>
              <w:pStyle w:val="BodyText"/>
              <w:keepNext/>
              <w:keepLines/>
              <w:widowControl w:val="0"/>
              <w:adjustRightInd w:val="0"/>
              <w:spacing w:before="0" w:after="0"/>
              <w:jc w:val="left"/>
              <w:textAlignment w:val="baseline"/>
              <w:rPr>
                <w:rFonts w:eastAsia="MS Mincho"/>
                <w:color w:val="000000"/>
              </w:rPr>
            </w:pPr>
            <w:r w:rsidRPr="009B295C">
              <w:t>General purpose polystyrene</w:t>
            </w:r>
          </w:p>
        </w:tc>
      </w:tr>
      <w:tr w:rsidR="00E10D7F" w:rsidRPr="00FC020E" w:rsidTr="00E10D7F">
        <w:trPr>
          <w:trHeight w:hRule="exact" w:val="317"/>
        </w:trPr>
        <w:tc>
          <w:tcPr>
            <w:tcW w:w="1890" w:type="dxa"/>
          </w:tcPr>
          <w:p w:rsidR="00E10D7F" w:rsidRPr="00FC020E"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HIPS</w:t>
            </w:r>
          </w:p>
        </w:tc>
        <w:tc>
          <w:tcPr>
            <w:tcW w:w="6930" w:type="dxa"/>
          </w:tcPr>
          <w:p w:rsidR="00E10D7F" w:rsidRPr="00FC020E" w:rsidRDefault="00E10D7F" w:rsidP="00E10D7F">
            <w:pPr>
              <w:pStyle w:val="BodyText"/>
              <w:keepNext/>
              <w:keepLines/>
              <w:widowControl w:val="0"/>
              <w:adjustRightInd w:val="0"/>
              <w:spacing w:before="0" w:after="0"/>
              <w:jc w:val="left"/>
              <w:textAlignment w:val="baseline"/>
              <w:rPr>
                <w:rFonts w:eastAsia="MS Mincho"/>
                <w:color w:val="000000"/>
              </w:rPr>
            </w:pPr>
            <w:r w:rsidRPr="009B295C">
              <w:t>Medium and high impact polystyrene</w:t>
            </w:r>
          </w:p>
        </w:tc>
      </w:tr>
      <w:tr w:rsidR="00E10D7F" w:rsidRPr="00FC020E" w:rsidTr="00E10D7F">
        <w:trPr>
          <w:trHeight w:hRule="exact" w:val="317"/>
        </w:trPr>
        <w:tc>
          <w:tcPr>
            <w:tcW w:w="189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IRC</w:t>
            </w:r>
          </w:p>
        </w:tc>
        <w:tc>
          <w:tcPr>
            <w:tcW w:w="693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Internal Revenue Code</w:t>
            </w:r>
          </w:p>
        </w:tc>
      </w:tr>
      <w:tr w:rsidR="00E10D7F" w:rsidRPr="00FC020E" w:rsidTr="00E10D7F">
        <w:trPr>
          <w:trHeight w:hRule="exact" w:val="317"/>
        </w:trPr>
        <w:tc>
          <w:tcPr>
            <w:tcW w:w="1890" w:type="dxa"/>
          </w:tcPr>
          <w:p w:rsidR="00E10D7F" w:rsidRPr="00FC020E"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KPMG</w:t>
            </w:r>
          </w:p>
        </w:tc>
        <w:tc>
          <w:tcPr>
            <w:tcW w:w="6930" w:type="dxa"/>
          </w:tcPr>
          <w:p w:rsidR="00E10D7F" w:rsidRPr="00FC020E"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KPMG LLP</w:t>
            </w:r>
          </w:p>
        </w:tc>
      </w:tr>
      <w:tr w:rsidR="00E10D7F" w:rsidRPr="00FC020E" w:rsidTr="00E10D7F">
        <w:trPr>
          <w:trHeight w:hRule="exact" w:val="317"/>
        </w:trPr>
        <w:tc>
          <w:tcPr>
            <w:tcW w:w="189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PPE</w:t>
            </w:r>
          </w:p>
        </w:tc>
        <w:tc>
          <w:tcPr>
            <w:tcW w:w="693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Property, plant and equipment</w:t>
            </w:r>
          </w:p>
        </w:tc>
      </w:tr>
      <w:tr w:rsidR="00E10D7F" w:rsidRPr="00FC020E" w:rsidTr="00E10D7F">
        <w:trPr>
          <w:trHeight w:hRule="exact" w:val="317"/>
        </w:trPr>
        <w:tc>
          <w:tcPr>
            <w:tcW w:w="189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 xml:space="preserve">PSM </w:t>
            </w:r>
          </w:p>
        </w:tc>
        <w:tc>
          <w:tcPr>
            <w:tcW w:w="693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Profit split method</w:t>
            </w:r>
          </w:p>
        </w:tc>
      </w:tr>
      <w:tr w:rsidR="00E10D7F" w:rsidRPr="00FC020E" w:rsidTr="00E10D7F">
        <w:trPr>
          <w:trHeight w:hRule="exact" w:val="317"/>
        </w:trPr>
        <w:tc>
          <w:tcPr>
            <w:tcW w:w="189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PWAVG</w:t>
            </w:r>
          </w:p>
        </w:tc>
        <w:tc>
          <w:tcPr>
            <w:tcW w:w="693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Period-weighted average</w:t>
            </w:r>
          </w:p>
        </w:tc>
      </w:tr>
      <w:tr w:rsidR="00E10D7F" w:rsidRPr="00FC020E" w:rsidTr="00E10D7F">
        <w:trPr>
          <w:trHeight w:hRule="exact" w:val="317"/>
        </w:trPr>
        <w:tc>
          <w:tcPr>
            <w:tcW w:w="189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RPM</w:t>
            </w:r>
          </w:p>
        </w:tc>
        <w:tc>
          <w:tcPr>
            <w:tcW w:w="693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Resale price method</w:t>
            </w:r>
          </w:p>
        </w:tc>
      </w:tr>
      <w:tr w:rsidR="00E10D7F" w:rsidRPr="00FC020E" w:rsidTr="00E10D7F">
        <w:trPr>
          <w:trHeight w:hRule="exact" w:val="317"/>
        </w:trPr>
        <w:tc>
          <w:tcPr>
            <w:tcW w:w="189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SEC</w:t>
            </w:r>
          </w:p>
        </w:tc>
        <w:tc>
          <w:tcPr>
            <w:tcW w:w="693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Securities and exchange commission</w:t>
            </w:r>
          </w:p>
        </w:tc>
      </w:tr>
      <w:tr w:rsidR="00E10D7F" w:rsidRPr="00FC020E" w:rsidTr="00E10D7F">
        <w:trPr>
          <w:trHeight w:hRule="exact" w:val="317"/>
        </w:trPr>
        <w:tc>
          <w:tcPr>
            <w:tcW w:w="189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SIC</w:t>
            </w:r>
          </w:p>
        </w:tc>
        <w:tc>
          <w:tcPr>
            <w:tcW w:w="693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Standard industrial classification</w:t>
            </w:r>
          </w:p>
        </w:tc>
      </w:tr>
      <w:tr w:rsidR="00E10D7F" w:rsidRPr="00FC020E" w:rsidTr="00E10D7F">
        <w:trPr>
          <w:trHeight w:hRule="exact" w:val="317"/>
        </w:trPr>
        <w:tc>
          <w:tcPr>
            <w:tcW w:w="189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USCO Group</w:t>
            </w:r>
          </w:p>
        </w:tc>
        <w:tc>
          <w:tcPr>
            <w:tcW w:w="6930" w:type="dxa"/>
          </w:tcPr>
          <w:p w:rsidR="00E10D7F" w:rsidRDefault="00E10D7F" w:rsidP="00E10D7F">
            <w:pPr>
              <w:pStyle w:val="BodyText"/>
              <w:keepNext/>
              <w:keepLines/>
              <w:widowControl w:val="0"/>
              <w:adjustRightInd w:val="0"/>
              <w:spacing w:before="0" w:after="0"/>
              <w:jc w:val="left"/>
              <w:textAlignment w:val="baseline"/>
              <w:rPr>
                <w:rFonts w:eastAsia="MS Mincho"/>
                <w:color w:val="000000"/>
              </w:rPr>
            </w:pPr>
            <w:r>
              <w:rPr>
                <w:rFonts w:eastAsia="MS Mincho"/>
                <w:color w:val="000000"/>
              </w:rPr>
              <w:t>Company X, Inc. and its subsidiaries</w:t>
            </w:r>
          </w:p>
        </w:tc>
      </w:tr>
    </w:tbl>
    <w:p w:rsidR="00E10D7F" w:rsidRPr="007F3E3D" w:rsidRDefault="00E10D7F" w:rsidP="00E10D7F">
      <w:pPr>
        <w:rPr>
          <w:b/>
          <w:color w:val="4F81BD" w:themeColor="accent1"/>
        </w:rPr>
      </w:pPr>
      <w:r w:rsidRPr="009B295C">
        <w:rPr>
          <w:b/>
          <w:color w:val="4F81BD" w:themeColor="accent1"/>
        </w:rPr>
        <w:br w:type="page"/>
      </w:r>
    </w:p>
    <w:p w:rsidR="00E10D7F" w:rsidRDefault="00E10D7F" w:rsidP="00E10D7F">
      <w:pPr>
        <w:pStyle w:val="Heading10"/>
        <w:spacing w:before="130" w:after="130"/>
        <w:ind w:hanging="965"/>
      </w:pPr>
      <w:bookmarkStart w:id="6" w:name="_Toc289767899"/>
      <w:bookmarkStart w:id="7" w:name="_Toc289781361"/>
      <w:bookmarkStart w:id="8" w:name="_Toc327559235"/>
      <w:r w:rsidRPr="007C6CAD">
        <w:lastRenderedPageBreak/>
        <w:t>Introdu</w:t>
      </w:r>
      <w:r w:rsidRPr="009B295C">
        <w:t>ction and Executive Summary</w:t>
      </w:r>
      <w:bookmarkStart w:id="9" w:name="_Toc155939708"/>
      <w:bookmarkStart w:id="10" w:name="_Toc155941572"/>
      <w:bookmarkStart w:id="11" w:name="_Toc155941683"/>
      <w:bookmarkStart w:id="12" w:name="_Toc155939709"/>
      <w:bookmarkStart w:id="13" w:name="_Toc155941573"/>
      <w:bookmarkStart w:id="14" w:name="_Toc155941684"/>
      <w:bookmarkStart w:id="15" w:name="_Toc155939710"/>
      <w:bookmarkStart w:id="16" w:name="_Toc155941574"/>
      <w:bookmarkStart w:id="17" w:name="_Toc155941685"/>
      <w:bookmarkEnd w:id="1"/>
      <w:bookmarkEnd w:id="2"/>
      <w:bookmarkEnd w:id="3"/>
      <w:bookmarkEnd w:id="4"/>
      <w:bookmarkEnd w:id="6"/>
      <w:bookmarkEnd w:id="7"/>
      <w:bookmarkEnd w:id="8"/>
      <w:bookmarkEnd w:id="9"/>
      <w:bookmarkEnd w:id="10"/>
      <w:bookmarkEnd w:id="11"/>
      <w:bookmarkEnd w:id="12"/>
      <w:bookmarkEnd w:id="13"/>
      <w:bookmarkEnd w:id="14"/>
      <w:bookmarkEnd w:id="15"/>
      <w:bookmarkEnd w:id="16"/>
      <w:bookmarkEnd w:id="17"/>
    </w:p>
    <w:p w:rsidR="00E10D7F" w:rsidRPr="00F33AB9"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b/>
        </w:rPr>
      </w:pPr>
      <w:r>
        <w:rPr>
          <w:b/>
        </w:rPr>
        <w:fldChar w:fldCharType="begin"/>
      </w:r>
      <w:r>
        <w:rPr>
          <w:b/>
        </w:rPr>
        <w:instrText xml:space="preserve"> HYPERLINK "http://usportal.us.kworld.kpmg.com/us/Functions/tax/evs/tp/TPWiki/wiki%20pages/1.%20introduction%20and%20executive%20summary%20-%20technical%20guidance.aspx?usersegment=9D92EDE4EA54691B5BEC8CA1C42092FD" </w:instrText>
      </w:r>
      <w:r>
        <w:rPr>
          <w:b/>
        </w:rPr>
        <w:fldChar w:fldCharType="separate"/>
      </w:r>
      <w:r w:rsidRPr="00F33AB9">
        <w:rPr>
          <w:rStyle w:val="Hyperlink"/>
          <w:b/>
        </w:rPr>
        <w:t>TECHNICAL GUIDANCE ON WIKI</w:t>
      </w:r>
    </w:p>
    <w:p w:rsidR="00E10D7F" w:rsidRPr="00F33AB9"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p>
    <w:p w:rsidR="00E10D7F" w:rsidRPr="00F33AB9"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F33AB9">
        <w:rPr>
          <w:rStyle w:val="Hyperlink"/>
        </w:rPr>
        <w:t>1.1</w:t>
      </w:r>
      <w:r w:rsidRPr="00F33AB9">
        <w:rPr>
          <w:rStyle w:val="Hyperlink"/>
        </w:rPr>
        <w:tab/>
        <w:t>Introduction</w:t>
      </w:r>
    </w:p>
    <w:p w:rsidR="00E10D7F" w:rsidRPr="00F33AB9"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F33AB9">
        <w:rPr>
          <w:rStyle w:val="Hyperlink"/>
        </w:rPr>
        <w:t>1.2</w:t>
      </w:r>
      <w:r w:rsidRPr="00F33AB9">
        <w:rPr>
          <w:rStyle w:val="Hyperlink"/>
        </w:rPr>
        <w:tab/>
        <w:t>Executive Summary</w:t>
      </w:r>
    </w:p>
    <w:p w:rsidR="00E10D7F" w:rsidRPr="00F33AB9"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540" w:hanging="540"/>
        <w:rPr>
          <w:rStyle w:val="Hyperlink"/>
        </w:rPr>
      </w:pPr>
      <w:r w:rsidRPr="00F33AB9">
        <w:rPr>
          <w:rStyle w:val="Hyperlink"/>
        </w:rPr>
        <w:t>1.3</w:t>
      </w:r>
      <w:r w:rsidRPr="00F33AB9">
        <w:rPr>
          <w:rStyle w:val="Hyperlink"/>
        </w:rPr>
        <w:tab/>
        <w:t>When the Tested Party is Outside the Interquartile Range – Are Transfer Prices at Arm’s Length?</w:t>
      </w:r>
    </w:p>
    <w:p w:rsidR="00E10D7F" w:rsidRPr="00F33AB9"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540" w:hanging="540"/>
        <w:rPr>
          <w:rStyle w:val="Hyperlink"/>
        </w:rPr>
      </w:pPr>
      <w:r w:rsidRPr="00F33AB9">
        <w:rPr>
          <w:rStyle w:val="Hyperlink"/>
        </w:rPr>
        <w:t>1.4</w:t>
      </w:r>
      <w:r w:rsidRPr="00F33AB9">
        <w:rPr>
          <w:rStyle w:val="Hyperlink"/>
        </w:rPr>
        <w:tab/>
        <w:t>When the Tested Party is Outside the Interquartile Range but Transfer Prices are Arm’s Length</w:t>
      </w:r>
    </w:p>
    <w:p w:rsidR="00E10D7F" w:rsidRPr="00F33AB9"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F33AB9">
        <w:rPr>
          <w:rStyle w:val="Hyperlink"/>
        </w:rPr>
        <w:t>1.5</w:t>
      </w:r>
      <w:r w:rsidRPr="00F33AB9">
        <w:rPr>
          <w:rStyle w:val="Hyperlink"/>
        </w:rPr>
        <w:tab/>
        <w:t>Testing Vs. Setting</w:t>
      </w:r>
    </w:p>
    <w:p w:rsidR="00E10D7F" w:rsidRPr="00F33AB9"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F33AB9">
        <w:rPr>
          <w:rStyle w:val="Hyperlink"/>
        </w:rPr>
        <w:t>1.6</w:t>
      </w:r>
      <w:r w:rsidRPr="00F33AB9">
        <w:rPr>
          <w:rStyle w:val="Hyperlink"/>
        </w:rPr>
        <w:tab/>
        <w:t>Cost Base</w:t>
      </w:r>
    </w:p>
    <w:p w:rsidR="00E10D7F" w:rsidRPr="00F33AB9"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F33AB9">
        <w:rPr>
          <w:rStyle w:val="Hyperlink"/>
        </w:rPr>
        <w:t>1.7</w:t>
      </w:r>
      <w:r w:rsidRPr="00F33AB9">
        <w:rPr>
          <w:rStyle w:val="Hyperlink"/>
        </w:rPr>
        <w:tab/>
        <w:t>Non-U.S. Considerations</w:t>
      </w:r>
    </w:p>
    <w:p w:rsidR="00E10D7F" w:rsidRPr="00F33AB9"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F33AB9">
        <w:rPr>
          <w:rStyle w:val="Hyperlink"/>
        </w:rPr>
        <w:t>1.8</w:t>
      </w:r>
      <w:r w:rsidRPr="00F33AB9">
        <w:rPr>
          <w:rStyle w:val="Hyperlink"/>
        </w:rPr>
        <w:tab/>
        <w:t>Standard Language</w:t>
      </w:r>
    </w:p>
    <w:p w:rsidR="00E10D7F" w:rsidRPr="00F33AB9"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F33AB9">
        <w:rPr>
          <w:rStyle w:val="Hyperlink"/>
        </w:rPr>
        <w:t>1.9</w:t>
      </w:r>
      <w:r w:rsidRPr="00F33AB9">
        <w:rPr>
          <w:rStyle w:val="Hyperlink"/>
        </w:rPr>
        <w:tab/>
        <w:t>OECD Studies</w:t>
      </w:r>
    </w:p>
    <w:p w:rsidR="00E10D7F" w:rsidRPr="00F33AB9"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F33AB9">
        <w:rPr>
          <w:rStyle w:val="Hyperlink"/>
        </w:rPr>
        <w:t>1.10</w:t>
      </w:r>
      <w:r w:rsidRPr="00F33AB9">
        <w:rPr>
          <w:rStyle w:val="Hyperlink"/>
        </w:rPr>
        <w:tab/>
        <w:t>Studies Involving Services</w:t>
      </w:r>
    </w:p>
    <w:p w:rsidR="00E10D7F" w:rsidRPr="00F33AB9"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F33AB9">
        <w:rPr>
          <w:rStyle w:val="Hyperlink"/>
        </w:rPr>
        <w:t>1.11</w:t>
      </w:r>
      <w:r w:rsidRPr="00F33AB9">
        <w:rPr>
          <w:rStyle w:val="Hyperlink"/>
        </w:rPr>
        <w:tab/>
        <w:t>Aggregation Issues</w:t>
      </w:r>
    </w:p>
    <w:p w:rsidR="00E10D7F" w:rsidRPr="00F33AB9"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F33AB9">
        <w:rPr>
          <w:rStyle w:val="Hyperlink"/>
        </w:rPr>
        <w:t>1.12</w:t>
      </w:r>
      <w:r w:rsidRPr="00F33AB9">
        <w:rPr>
          <w:rStyle w:val="Hyperlink"/>
        </w:rPr>
        <w:tab/>
        <w:t>Use of the Term “OECD Masterfile”</w:t>
      </w:r>
    </w:p>
    <w:p w:rsidR="00E10D7F"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b/>
        </w:rPr>
      </w:pPr>
      <w:r w:rsidRPr="00F33AB9">
        <w:rPr>
          <w:rStyle w:val="Hyperlink"/>
        </w:rPr>
        <w:t>1.13</w:t>
      </w:r>
      <w:r w:rsidRPr="00F33AB9">
        <w:rPr>
          <w:rStyle w:val="Hyperlink"/>
        </w:rPr>
        <w:tab/>
        <w:t>Text Alternative to Tabular Presentation of Results</w:t>
      </w:r>
      <w:r>
        <w:rPr>
          <w:b/>
        </w:rPr>
        <w:fldChar w:fldCharType="end"/>
      </w:r>
    </w:p>
    <w:p w:rsidR="00E10D7F"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b/>
        </w:rPr>
      </w:pPr>
    </w:p>
    <w:p w:rsidR="00E10D7F" w:rsidRDefault="00E10D7F" w:rsidP="00E10D7F">
      <w:pPr>
        <w:pStyle w:val="Heading20"/>
      </w:pPr>
      <w:bookmarkStart w:id="18" w:name="_Toc200781309"/>
      <w:bookmarkStart w:id="19" w:name="_Toc289767900"/>
      <w:bookmarkStart w:id="20" w:name="_Toc289781362"/>
      <w:bookmarkStart w:id="21" w:name="_Toc327559236"/>
      <w:r w:rsidRPr="009B295C">
        <w:t>Introduction</w:t>
      </w:r>
      <w:bookmarkEnd w:id="18"/>
      <w:bookmarkEnd w:id="19"/>
      <w:bookmarkEnd w:id="20"/>
      <w:bookmarkEnd w:id="21"/>
    </w:p>
    <w:p w:rsidR="00E10D7F" w:rsidRDefault="00E10D7F" w:rsidP="00E10D7F">
      <w:pPr>
        <w:pStyle w:val="BodyText0"/>
      </w:pPr>
      <w:r w:rsidRPr="009B295C">
        <w:t>Company X, Inc. (“USCO” or “Company”), a U.S. company, engaged KPMG LLP (“KPMG”) to prepare a transfer pricing analysis of certain transactions during the taxable year ended December 31, 2010 (“FY10”).</w:t>
      </w:r>
      <w:r w:rsidRPr="009B295C">
        <w:rPr>
          <w:vertAlign w:val="superscript"/>
        </w:rPr>
        <w:footnoteReference w:id="1"/>
      </w:r>
      <w:r>
        <w:t xml:space="preserve"> </w:t>
      </w:r>
      <w:r w:rsidRPr="00FC020E">
        <w:t xml:space="preserve"> </w:t>
      </w:r>
      <w:r w:rsidRPr="009B295C">
        <w:t>USCO is incorporated in the United States, based in Portland, Oregon, and engages in diverse activities including the manufacture and distribution of chemicals and chemical processing equipment to the electronics, pharmaceutical and energy sectors.</w:t>
      </w:r>
    </w:p>
    <w:p w:rsidR="00E10D7F" w:rsidRDefault="00E10D7F" w:rsidP="00E10D7F">
      <w:pPr>
        <w:pStyle w:val="BodyText0"/>
      </w:pPr>
      <w:r w:rsidRPr="009B295C">
        <w:t>This analysis tests the following intercompany transactions (collectively, “Intercompany Transactions</w:t>
      </w:r>
      <w:r w:rsidRPr="00FC020E">
        <w:t>”)</w:t>
      </w:r>
      <w:r>
        <w:t xml:space="preserve"> for compliance with the arm’s-length standard</w:t>
      </w:r>
      <w:r w:rsidRPr="00FC020E">
        <w:t>.</w:t>
      </w:r>
    </w:p>
    <w:p w:rsidR="00E10D7F" w:rsidRDefault="00E10D7F" w:rsidP="00E10D7F">
      <w:pPr>
        <w:pStyle w:val="BodyText0"/>
        <w:numPr>
          <w:ilvl w:val="0"/>
          <w:numId w:val="16"/>
        </w:numPr>
      </w:pPr>
      <w:r w:rsidRPr="009B295C">
        <w:t>Transaction 1: USCO’s sale of chemicals to its wholly-owned subsidiary, Foreign Company Germany (“GERCO”); and</w:t>
      </w:r>
    </w:p>
    <w:p w:rsidR="00E10D7F" w:rsidRDefault="00E10D7F" w:rsidP="00E10D7F">
      <w:pPr>
        <w:pStyle w:val="BodyText0"/>
        <w:numPr>
          <w:ilvl w:val="0"/>
          <w:numId w:val="16"/>
        </w:numPr>
      </w:pPr>
      <w:r w:rsidRPr="009B295C">
        <w:t>Transaction 2:</w:t>
      </w:r>
      <w:r w:rsidRPr="00FC020E">
        <w:t xml:space="preserve"> </w:t>
      </w:r>
      <w:r>
        <w:t xml:space="preserve"> </w:t>
      </w:r>
      <w:r w:rsidRPr="009B295C">
        <w:t>USCO’s purchase of chemicals from its wholly-owned subsidiary, Foreign Company Canada (“CANCO”), for subsequent sale to GERCO and unrelated U.S. customers.</w:t>
      </w:r>
    </w:p>
    <w:p w:rsidR="00E10D7F" w:rsidRDefault="00E10D7F" w:rsidP="00E10D7F">
      <w:pPr>
        <w:pStyle w:val="BodyText0"/>
      </w:pPr>
      <w:r w:rsidRPr="009B295C">
        <w:t>KPMG performed this analysis from the U.S. perspective, in accordance with the regulations under Sections 482 (“§482 regulations”) and 6662 of the U.S. Internal Revenue Code (“IRC”).</w:t>
      </w:r>
      <w:r>
        <w:t xml:space="preserve"> </w:t>
      </w:r>
      <w:r w:rsidRPr="00FC020E">
        <w:t xml:space="preserve"> </w:t>
      </w:r>
    </w:p>
    <w:p w:rsidR="00E10D7F" w:rsidRDefault="00E10D7F" w:rsidP="00E10D7F">
      <w:pPr>
        <w:pStyle w:val="BodyText0"/>
      </w:pPr>
      <w:r w:rsidRPr="005A1E9F">
        <w:t xml:space="preserve">In accordance with KPMG’s agreement with USCO, this report is limited to issues concerning compliance with IRC §482 for the specified transactions.  Additional issues may exist that could affect the federal tax treatment of the transaction(s) that are the subject of this report, and the report does not consider or provide a conclusion with respect to any additional issues.  With respect to any significant tax issues outside the limited scope of this report, the report is not intended or written by KPMG to be used, and cannot be used, by a client or any other person or entity, for the purpose of avoiding any penalties that may be imposed on any taxpayer.  The report is also not intended to be used by a client or any other </w:t>
      </w:r>
      <w:r w:rsidRPr="005A1E9F">
        <w:lastRenderedPageBreak/>
        <w:t>person or entity in promoting, marketing or recommending to any other party any tax related matters herein.</w:t>
      </w:r>
    </w:p>
    <w:p w:rsidR="00E10D7F" w:rsidRDefault="00E10D7F" w:rsidP="00E10D7F">
      <w:pPr>
        <w:pStyle w:val="Caption"/>
        <w:keepNext/>
        <w:keepLines/>
        <w:spacing w:before="120" w:after="120"/>
        <w:jc w:val="center"/>
        <w:rPr>
          <w:szCs w:val="22"/>
        </w:rPr>
      </w:pPr>
      <w:r w:rsidRPr="009B295C">
        <w:rPr>
          <w:szCs w:val="22"/>
        </w:rPr>
        <w:t xml:space="preserve">Table </w:t>
      </w:r>
      <w:r w:rsidRPr="009B295C">
        <w:rPr>
          <w:szCs w:val="22"/>
        </w:rPr>
        <w:fldChar w:fldCharType="begin"/>
      </w:r>
      <w:r w:rsidRPr="009B295C">
        <w:rPr>
          <w:szCs w:val="22"/>
        </w:rPr>
        <w:instrText xml:space="preserve"> SEQ Table \* ARABIC </w:instrText>
      </w:r>
      <w:r w:rsidRPr="009B295C">
        <w:rPr>
          <w:szCs w:val="22"/>
        </w:rPr>
        <w:fldChar w:fldCharType="separate"/>
      </w:r>
      <w:r>
        <w:rPr>
          <w:noProof/>
          <w:szCs w:val="22"/>
        </w:rPr>
        <w:t>2</w:t>
      </w:r>
      <w:r w:rsidRPr="009B295C">
        <w:rPr>
          <w:szCs w:val="22"/>
        </w:rPr>
        <w:fldChar w:fldCharType="end"/>
      </w:r>
      <w:r w:rsidRPr="009B295C">
        <w:rPr>
          <w:szCs w:val="22"/>
        </w:rPr>
        <w:t>: List of Legal Entity Acronyms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0"/>
        <w:gridCol w:w="3150"/>
        <w:gridCol w:w="2070"/>
        <w:gridCol w:w="2070"/>
      </w:tblGrid>
      <w:tr w:rsidR="00E10D7F" w:rsidRPr="007F3E3D" w:rsidTr="00E10D7F">
        <w:trPr>
          <w:trHeight w:val="950"/>
        </w:trPr>
        <w:tc>
          <w:tcPr>
            <w:tcW w:w="1530" w:type="dxa"/>
            <w:shd w:val="clear" w:color="auto" w:fill="auto"/>
            <w:vAlign w:val="center"/>
          </w:tcPr>
          <w:p w:rsidR="00E10D7F" w:rsidRDefault="00E10D7F" w:rsidP="00E10D7F">
            <w:pPr>
              <w:pStyle w:val="BodyText0"/>
              <w:spacing w:before="40" w:after="40"/>
              <w:jc w:val="center"/>
              <w:rPr>
                <w:b/>
              </w:rPr>
            </w:pPr>
            <w:r w:rsidRPr="009B295C">
              <w:rPr>
                <w:b/>
              </w:rPr>
              <w:t>Acronym</w:t>
            </w:r>
          </w:p>
        </w:tc>
        <w:tc>
          <w:tcPr>
            <w:tcW w:w="3150" w:type="dxa"/>
            <w:shd w:val="clear" w:color="auto" w:fill="auto"/>
            <w:vAlign w:val="center"/>
          </w:tcPr>
          <w:p w:rsidR="00E10D7F" w:rsidRDefault="00E10D7F" w:rsidP="00E10D7F">
            <w:pPr>
              <w:pStyle w:val="BodyText0"/>
              <w:spacing w:before="40" w:after="40"/>
              <w:jc w:val="center"/>
              <w:rPr>
                <w:b/>
              </w:rPr>
            </w:pPr>
            <w:r w:rsidRPr="009B295C">
              <w:rPr>
                <w:b/>
              </w:rPr>
              <w:t>Legal Entity</w:t>
            </w:r>
          </w:p>
        </w:tc>
        <w:tc>
          <w:tcPr>
            <w:tcW w:w="2070" w:type="dxa"/>
            <w:shd w:val="clear" w:color="auto" w:fill="auto"/>
            <w:vAlign w:val="center"/>
          </w:tcPr>
          <w:p w:rsidR="00E10D7F" w:rsidRDefault="00E10D7F" w:rsidP="00E10D7F">
            <w:pPr>
              <w:pStyle w:val="BodyText0"/>
              <w:spacing w:before="40" w:after="40"/>
              <w:jc w:val="center"/>
              <w:rPr>
                <w:b/>
              </w:rPr>
            </w:pPr>
            <w:r w:rsidRPr="009B295C">
              <w:rPr>
                <w:b/>
              </w:rPr>
              <w:t>Country</w:t>
            </w:r>
          </w:p>
        </w:tc>
        <w:tc>
          <w:tcPr>
            <w:tcW w:w="2070" w:type="dxa"/>
            <w:shd w:val="clear" w:color="auto" w:fill="auto"/>
            <w:vAlign w:val="center"/>
          </w:tcPr>
          <w:p w:rsidR="00E10D7F" w:rsidRDefault="00E10D7F" w:rsidP="00E10D7F">
            <w:pPr>
              <w:pStyle w:val="BodyText0"/>
              <w:spacing w:before="40" w:after="40"/>
              <w:jc w:val="center"/>
              <w:rPr>
                <w:b/>
              </w:rPr>
            </w:pPr>
            <w:r w:rsidRPr="009B295C">
              <w:rPr>
                <w:b/>
              </w:rPr>
              <w:t>Has Transactions Covered in this Report?</w:t>
            </w:r>
          </w:p>
        </w:tc>
      </w:tr>
      <w:tr w:rsidR="00E10D7F" w:rsidRPr="007F3E3D" w:rsidTr="00E10D7F">
        <w:trPr>
          <w:trHeight w:val="317"/>
        </w:trPr>
        <w:tc>
          <w:tcPr>
            <w:tcW w:w="1530" w:type="dxa"/>
          </w:tcPr>
          <w:p w:rsidR="00E10D7F" w:rsidRDefault="00E10D7F" w:rsidP="00E10D7F">
            <w:pPr>
              <w:pStyle w:val="BodyText"/>
              <w:keepLines/>
              <w:widowControl w:val="0"/>
              <w:adjustRightInd w:val="0"/>
              <w:spacing w:before="40" w:after="40"/>
              <w:jc w:val="left"/>
              <w:textAlignment w:val="baseline"/>
              <w:rPr>
                <w:rFonts w:eastAsia="MS Mincho"/>
                <w:color w:val="000000"/>
              </w:rPr>
            </w:pPr>
            <w:r w:rsidRPr="009B295C">
              <w:rPr>
                <w:rFonts w:eastAsia="MS Mincho"/>
                <w:color w:val="000000"/>
              </w:rPr>
              <w:t>CANCO</w:t>
            </w:r>
          </w:p>
        </w:tc>
        <w:tc>
          <w:tcPr>
            <w:tcW w:w="3150" w:type="dxa"/>
          </w:tcPr>
          <w:p w:rsidR="00E10D7F" w:rsidRDefault="00E10D7F" w:rsidP="00E10D7F">
            <w:pPr>
              <w:pStyle w:val="BodyText"/>
              <w:keepLines/>
              <w:widowControl w:val="0"/>
              <w:adjustRightInd w:val="0"/>
              <w:spacing w:before="40" w:after="40"/>
              <w:jc w:val="left"/>
              <w:textAlignment w:val="baseline"/>
              <w:rPr>
                <w:rFonts w:eastAsia="MS Mincho"/>
                <w:color w:val="000000"/>
              </w:rPr>
            </w:pPr>
            <w:r w:rsidRPr="009B295C">
              <w:rPr>
                <w:rFonts w:eastAsia="MS Mincho"/>
                <w:color w:val="000000"/>
              </w:rPr>
              <w:t>Foreign Company Canada</w:t>
            </w:r>
          </w:p>
        </w:tc>
        <w:tc>
          <w:tcPr>
            <w:tcW w:w="2070" w:type="dxa"/>
          </w:tcPr>
          <w:p w:rsidR="00E10D7F" w:rsidRDefault="00E10D7F" w:rsidP="00E10D7F">
            <w:pPr>
              <w:pStyle w:val="BodyText"/>
              <w:keepLines/>
              <w:widowControl w:val="0"/>
              <w:adjustRightInd w:val="0"/>
              <w:spacing w:before="40" w:after="40"/>
              <w:jc w:val="left"/>
              <w:textAlignment w:val="baseline"/>
              <w:rPr>
                <w:rFonts w:eastAsia="MS Mincho"/>
                <w:color w:val="000000"/>
              </w:rPr>
            </w:pPr>
            <w:r w:rsidRPr="009B295C">
              <w:rPr>
                <w:rFonts w:eastAsia="MS Mincho"/>
                <w:color w:val="000000"/>
              </w:rPr>
              <w:t>Canada</w:t>
            </w:r>
          </w:p>
        </w:tc>
        <w:tc>
          <w:tcPr>
            <w:tcW w:w="2070" w:type="dxa"/>
          </w:tcPr>
          <w:p w:rsidR="00E10D7F" w:rsidRDefault="00E10D7F" w:rsidP="00E10D7F">
            <w:pPr>
              <w:pStyle w:val="BodyText"/>
              <w:keepLines/>
              <w:widowControl w:val="0"/>
              <w:adjustRightInd w:val="0"/>
              <w:spacing w:before="40" w:after="40"/>
              <w:jc w:val="left"/>
              <w:textAlignment w:val="baseline"/>
              <w:rPr>
                <w:rFonts w:eastAsia="MS Mincho"/>
                <w:color w:val="000000"/>
              </w:rPr>
            </w:pPr>
            <w:r w:rsidRPr="009B295C">
              <w:rPr>
                <w:rFonts w:eastAsia="MS Mincho"/>
                <w:color w:val="000000"/>
              </w:rPr>
              <w:t>Yes</w:t>
            </w:r>
          </w:p>
        </w:tc>
      </w:tr>
      <w:tr w:rsidR="00E10D7F" w:rsidRPr="007F3E3D" w:rsidTr="00E10D7F">
        <w:trPr>
          <w:trHeight w:val="317"/>
        </w:trPr>
        <w:tc>
          <w:tcPr>
            <w:tcW w:w="1530" w:type="dxa"/>
          </w:tcPr>
          <w:p w:rsidR="00E10D7F" w:rsidRDefault="00E10D7F" w:rsidP="00E10D7F">
            <w:pPr>
              <w:pStyle w:val="BodyText"/>
              <w:keepLines/>
              <w:widowControl w:val="0"/>
              <w:adjustRightInd w:val="0"/>
              <w:spacing w:before="40" w:after="40"/>
              <w:jc w:val="left"/>
              <w:textAlignment w:val="baseline"/>
              <w:rPr>
                <w:rFonts w:eastAsia="MS Mincho"/>
                <w:color w:val="000000"/>
              </w:rPr>
            </w:pPr>
            <w:r w:rsidRPr="009B295C">
              <w:rPr>
                <w:rFonts w:eastAsia="MS Mincho"/>
                <w:color w:val="000000"/>
              </w:rPr>
              <w:t>GERCO</w:t>
            </w:r>
          </w:p>
        </w:tc>
        <w:tc>
          <w:tcPr>
            <w:tcW w:w="3150" w:type="dxa"/>
          </w:tcPr>
          <w:p w:rsidR="00E10D7F" w:rsidRDefault="00E10D7F" w:rsidP="00E10D7F">
            <w:pPr>
              <w:pStyle w:val="BodyText"/>
              <w:keepLines/>
              <w:widowControl w:val="0"/>
              <w:adjustRightInd w:val="0"/>
              <w:spacing w:before="40" w:after="40"/>
              <w:jc w:val="left"/>
              <w:textAlignment w:val="baseline"/>
              <w:rPr>
                <w:rFonts w:eastAsia="MS Mincho"/>
                <w:color w:val="000000"/>
              </w:rPr>
            </w:pPr>
            <w:r w:rsidRPr="009B295C">
              <w:rPr>
                <w:rFonts w:eastAsia="MS Mincho"/>
                <w:color w:val="000000"/>
              </w:rPr>
              <w:t>Foreign Company Germany</w:t>
            </w:r>
          </w:p>
        </w:tc>
        <w:tc>
          <w:tcPr>
            <w:tcW w:w="2070" w:type="dxa"/>
          </w:tcPr>
          <w:p w:rsidR="00E10D7F" w:rsidRDefault="00E10D7F" w:rsidP="00E10D7F">
            <w:pPr>
              <w:pStyle w:val="BodyText"/>
              <w:keepLines/>
              <w:widowControl w:val="0"/>
              <w:adjustRightInd w:val="0"/>
              <w:spacing w:before="40" w:after="40"/>
              <w:jc w:val="left"/>
              <w:textAlignment w:val="baseline"/>
              <w:rPr>
                <w:rFonts w:eastAsia="MS Mincho"/>
                <w:color w:val="000000"/>
              </w:rPr>
            </w:pPr>
            <w:r w:rsidRPr="009B295C">
              <w:rPr>
                <w:rFonts w:eastAsia="MS Mincho"/>
                <w:color w:val="000000"/>
              </w:rPr>
              <w:t>Germany</w:t>
            </w:r>
          </w:p>
        </w:tc>
        <w:tc>
          <w:tcPr>
            <w:tcW w:w="2070" w:type="dxa"/>
          </w:tcPr>
          <w:p w:rsidR="00E10D7F" w:rsidRDefault="00E10D7F" w:rsidP="00E10D7F">
            <w:pPr>
              <w:pStyle w:val="BodyText"/>
              <w:keepLines/>
              <w:widowControl w:val="0"/>
              <w:adjustRightInd w:val="0"/>
              <w:spacing w:before="40" w:after="40"/>
              <w:jc w:val="left"/>
              <w:textAlignment w:val="baseline"/>
              <w:rPr>
                <w:rFonts w:eastAsia="MS Mincho"/>
                <w:color w:val="000000"/>
              </w:rPr>
            </w:pPr>
            <w:r w:rsidRPr="009B295C">
              <w:rPr>
                <w:rFonts w:eastAsia="MS Mincho"/>
                <w:color w:val="000000"/>
              </w:rPr>
              <w:t>Yes</w:t>
            </w:r>
          </w:p>
        </w:tc>
      </w:tr>
      <w:tr w:rsidR="00E10D7F" w:rsidRPr="007F3E3D" w:rsidTr="00E10D7F">
        <w:trPr>
          <w:trHeight w:val="317"/>
        </w:trPr>
        <w:tc>
          <w:tcPr>
            <w:tcW w:w="1530" w:type="dxa"/>
          </w:tcPr>
          <w:p w:rsidR="00E10D7F" w:rsidRDefault="00E10D7F" w:rsidP="00E10D7F">
            <w:pPr>
              <w:pStyle w:val="BodyText"/>
              <w:keepLines/>
              <w:widowControl w:val="0"/>
              <w:adjustRightInd w:val="0"/>
              <w:spacing w:before="40" w:after="40"/>
              <w:jc w:val="left"/>
              <w:textAlignment w:val="baseline"/>
              <w:rPr>
                <w:rFonts w:eastAsia="MS Mincho"/>
                <w:color w:val="000000"/>
              </w:rPr>
            </w:pPr>
            <w:r w:rsidRPr="009B295C">
              <w:rPr>
                <w:rFonts w:eastAsia="MS Mincho"/>
                <w:color w:val="000000"/>
              </w:rPr>
              <w:t>USCO</w:t>
            </w:r>
          </w:p>
        </w:tc>
        <w:tc>
          <w:tcPr>
            <w:tcW w:w="3150" w:type="dxa"/>
          </w:tcPr>
          <w:p w:rsidR="00E10D7F" w:rsidRDefault="00E10D7F" w:rsidP="00E10D7F">
            <w:pPr>
              <w:pStyle w:val="BodyText"/>
              <w:keepLines/>
              <w:widowControl w:val="0"/>
              <w:adjustRightInd w:val="0"/>
              <w:spacing w:before="40" w:after="40"/>
              <w:jc w:val="left"/>
              <w:textAlignment w:val="baseline"/>
              <w:rPr>
                <w:rFonts w:eastAsia="MS Mincho"/>
                <w:color w:val="000000"/>
              </w:rPr>
            </w:pPr>
            <w:r w:rsidRPr="009B295C">
              <w:rPr>
                <w:rFonts w:eastAsia="MS Mincho"/>
                <w:color w:val="000000"/>
              </w:rPr>
              <w:t>Company X, Inc.</w:t>
            </w:r>
          </w:p>
        </w:tc>
        <w:tc>
          <w:tcPr>
            <w:tcW w:w="2070" w:type="dxa"/>
          </w:tcPr>
          <w:p w:rsidR="00E10D7F" w:rsidRDefault="00E10D7F" w:rsidP="00E10D7F">
            <w:pPr>
              <w:pStyle w:val="BodyText"/>
              <w:keepLines/>
              <w:widowControl w:val="0"/>
              <w:adjustRightInd w:val="0"/>
              <w:spacing w:before="40" w:after="40"/>
              <w:jc w:val="left"/>
              <w:textAlignment w:val="baseline"/>
              <w:rPr>
                <w:rFonts w:eastAsia="MS Mincho"/>
                <w:color w:val="000000"/>
              </w:rPr>
            </w:pPr>
            <w:r w:rsidRPr="009B295C">
              <w:rPr>
                <w:rFonts w:eastAsia="MS Mincho"/>
                <w:color w:val="000000"/>
              </w:rPr>
              <w:t>United States</w:t>
            </w:r>
          </w:p>
        </w:tc>
        <w:tc>
          <w:tcPr>
            <w:tcW w:w="2070" w:type="dxa"/>
          </w:tcPr>
          <w:p w:rsidR="00E10D7F" w:rsidRDefault="00E10D7F" w:rsidP="00E10D7F">
            <w:pPr>
              <w:pStyle w:val="BodyText"/>
              <w:keepLines/>
              <w:widowControl w:val="0"/>
              <w:adjustRightInd w:val="0"/>
              <w:spacing w:before="40" w:after="40"/>
              <w:jc w:val="left"/>
              <w:textAlignment w:val="baseline"/>
              <w:rPr>
                <w:rFonts w:eastAsia="MS Mincho"/>
                <w:color w:val="000000"/>
              </w:rPr>
            </w:pPr>
            <w:r w:rsidRPr="009B295C">
              <w:rPr>
                <w:rFonts w:eastAsia="MS Mincho"/>
                <w:color w:val="000000"/>
              </w:rPr>
              <w:t>Yes</w:t>
            </w:r>
          </w:p>
        </w:tc>
      </w:tr>
    </w:tbl>
    <w:p w:rsidR="00E10D7F" w:rsidRDefault="00E10D7F" w:rsidP="00E10D7F">
      <w:pPr>
        <w:pStyle w:val="Heading20"/>
      </w:pPr>
      <w:bookmarkStart w:id="22" w:name="_Toc200781310"/>
      <w:bookmarkStart w:id="23" w:name="_Toc289767901"/>
      <w:bookmarkStart w:id="24" w:name="_Toc289781363"/>
      <w:bookmarkStart w:id="25" w:name="_Toc327559237"/>
      <w:r w:rsidRPr="009B295C">
        <w:t>Executive Summary</w:t>
      </w:r>
      <w:bookmarkEnd w:id="22"/>
      <w:bookmarkEnd w:id="23"/>
      <w:bookmarkEnd w:id="24"/>
      <w:bookmarkEnd w:id="25"/>
    </w:p>
    <w:p w:rsidR="00E10D7F" w:rsidRPr="00FC020E" w:rsidRDefault="00E10D7F" w:rsidP="00E10D7F">
      <w:pPr>
        <w:pStyle w:val="BodyText"/>
        <w:keepNext/>
        <w:rPr>
          <w:rFonts w:ascii="Arial" w:hAnsi="Arial" w:cs="Arial"/>
          <w:color w:val="333333"/>
          <w:sz w:val="2"/>
          <w:szCs w:val="2"/>
        </w:rPr>
      </w:pPr>
      <w:bookmarkStart w:id="26" w:name="_Toc155939714"/>
      <w:bookmarkStart w:id="27" w:name="_Toc155941689"/>
      <w:bookmarkStart w:id="28" w:name="_Toc200781312"/>
      <w:r w:rsidRPr="009B295C">
        <w:rPr>
          <w:color w:val="333333"/>
          <w:sz w:val="2"/>
          <w:szCs w:val="2"/>
        </w:rPr>
        <w:t> </w:t>
      </w:r>
    </w:p>
    <w:p w:rsidR="00E10D7F" w:rsidRDefault="00E10D7F" w:rsidP="00E10D7F">
      <w:pPr>
        <w:pStyle w:val="Bullet1"/>
        <w:numPr>
          <w:ilvl w:val="0"/>
          <w:numId w:val="0"/>
        </w:numPr>
      </w:pPr>
      <w:r>
        <w:t>KPMG’s</w:t>
      </w:r>
      <w:r w:rsidRPr="009B295C">
        <w:t xml:space="preserve"> analyses concluded that the transfer prices for the Intercompany Transactions were </w:t>
      </w:r>
      <w:r>
        <w:t xml:space="preserve">within the </w:t>
      </w:r>
      <w:r w:rsidRPr="009B295C">
        <w:t>arm’s</w:t>
      </w:r>
      <w:r>
        <w:t>-</w:t>
      </w:r>
      <w:r w:rsidRPr="009B295C">
        <w:t>length</w:t>
      </w:r>
      <w:r>
        <w:t xml:space="preserve"> range</w:t>
      </w:r>
      <w:r w:rsidRPr="009B295C">
        <w:t>.</w:t>
      </w:r>
      <w:r>
        <w:t xml:space="preserve"> </w:t>
      </w:r>
    </w:p>
    <w:p w:rsidR="00E10D7F" w:rsidRDefault="00E10D7F" w:rsidP="00E10D7F">
      <w:pPr>
        <w:pStyle w:val="Bullet1"/>
        <w:numPr>
          <w:ilvl w:val="0"/>
          <w:numId w:val="28"/>
        </w:numPr>
        <w:rPr>
          <w:color w:val="000000"/>
        </w:rPr>
      </w:pPr>
      <w:r w:rsidRPr="009B295C">
        <w:rPr>
          <w:b/>
        </w:rPr>
        <w:t>Transaction 1</w:t>
      </w:r>
      <w:r w:rsidRPr="009B295C">
        <w:t xml:space="preserve"> – </w:t>
      </w:r>
      <w:r>
        <w:t>KPMG</w:t>
      </w:r>
      <w:r w:rsidRPr="009B295C">
        <w:rPr>
          <w:color w:val="000000"/>
        </w:rPr>
        <w:t xml:space="preserve"> evaluated the arm’s-length nature of </w:t>
      </w:r>
      <w:r>
        <w:rPr>
          <w:color w:val="000000"/>
        </w:rPr>
        <w:t>Transaction</w:t>
      </w:r>
      <w:r w:rsidRPr="009B295C">
        <w:rPr>
          <w:color w:val="000000"/>
        </w:rPr>
        <w:t xml:space="preserve"> 1 under the Comparable Uncontrolled Price (“CUP”) method, </w:t>
      </w:r>
      <w:r w:rsidRPr="009B295C">
        <w:t xml:space="preserve">one of the specified methods for pricing tangible property transactions discussed in the </w:t>
      </w:r>
      <w:r w:rsidRPr="009B295C">
        <w:rPr>
          <w:color w:val="000000"/>
        </w:rPr>
        <w:t>§482 regulations.</w:t>
      </w:r>
    </w:p>
    <w:p w:rsidR="00E10D7F" w:rsidRDefault="00E10D7F" w:rsidP="00E10D7F">
      <w:pPr>
        <w:pStyle w:val="Bullet1"/>
        <w:numPr>
          <w:ilvl w:val="0"/>
          <w:numId w:val="28"/>
        </w:numPr>
        <w:rPr>
          <w:color w:val="000000"/>
        </w:rPr>
      </w:pPr>
      <w:r w:rsidRPr="009B295C">
        <w:rPr>
          <w:b/>
        </w:rPr>
        <w:t>Transaction 2</w:t>
      </w:r>
      <w:r w:rsidRPr="009B295C">
        <w:t xml:space="preserve"> – </w:t>
      </w:r>
      <w:r>
        <w:t>KPMG</w:t>
      </w:r>
      <w:r w:rsidRPr="009B295C">
        <w:t xml:space="preserve"> </w:t>
      </w:r>
      <w:r w:rsidRPr="009B295C">
        <w:rPr>
          <w:color w:val="000000"/>
        </w:rPr>
        <w:t xml:space="preserve">evaluated the arm’s-length nature of </w:t>
      </w:r>
      <w:r>
        <w:rPr>
          <w:color w:val="000000"/>
        </w:rPr>
        <w:t>Transaction</w:t>
      </w:r>
      <w:r w:rsidRPr="009B295C">
        <w:rPr>
          <w:color w:val="000000"/>
        </w:rPr>
        <w:t xml:space="preserve"> 2 under the Comparable Profits Method (“CPM”), </w:t>
      </w:r>
      <w:r w:rsidRPr="009B295C">
        <w:t>one of the speci</w:t>
      </w:r>
      <w:r w:rsidRPr="008B68B5">
        <w:rPr>
          <w:b/>
          <w:i/>
          <w:color w:val="4F81BD" w:themeColor="accent1"/>
          <w:sz w:val="2"/>
          <w:szCs w:val="2"/>
        </w:rPr>
        <w:t>f</w:t>
      </w:r>
      <w:r w:rsidRPr="009B295C">
        <w:t xml:space="preserve">ied methods for pricing tangible property transactions discussed in the </w:t>
      </w:r>
      <w:r w:rsidRPr="009B295C">
        <w:rPr>
          <w:color w:val="000000"/>
        </w:rPr>
        <w:t xml:space="preserve">§482 regulations. </w:t>
      </w:r>
      <w:r>
        <w:rPr>
          <w:color w:val="000000"/>
        </w:rPr>
        <w:t xml:space="preserve"> </w:t>
      </w:r>
    </w:p>
    <w:p w:rsidR="00E10D7F" w:rsidRDefault="00E10D7F" w:rsidP="00E10D7F">
      <w:pPr>
        <w:pStyle w:val="Bullet1"/>
        <w:numPr>
          <w:ilvl w:val="0"/>
          <w:numId w:val="0"/>
        </w:numPr>
        <w:ind w:left="720"/>
        <w:rPr>
          <w:color w:val="000000"/>
        </w:rPr>
      </w:pPr>
      <w:r>
        <w:rPr>
          <w:color w:val="000000"/>
        </w:rPr>
        <w:t>[</w:t>
      </w:r>
      <w:r w:rsidRPr="00FD36D2">
        <w:rPr>
          <w:b/>
          <w:i/>
          <w:color w:val="4F81BD" w:themeColor="accent1"/>
        </w:rPr>
        <w:t>This paragraph is included only because aggregation is an issue in this report.  If there is no aggregation issue, there need be no reference to sequencing of the analysis.</w:t>
      </w:r>
      <w:r>
        <w:rPr>
          <w:color w:val="000000"/>
        </w:rPr>
        <w:t xml:space="preserve">]  </w:t>
      </w:r>
      <w:r w:rsidRPr="009B295C">
        <w:rPr>
          <w:color w:val="000000"/>
        </w:rPr>
        <w:t>Further, the application of the CPM for Transaction 2 is based on a measure of financial performance that depends on the price of polystyrene sold to GERCO under Transaction 1.</w:t>
      </w:r>
      <w:r>
        <w:rPr>
          <w:color w:val="000000"/>
        </w:rPr>
        <w:t xml:space="preserve">  </w:t>
      </w:r>
      <w:r w:rsidRPr="009B295C">
        <w:rPr>
          <w:color w:val="000000"/>
        </w:rPr>
        <w:t xml:space="preserve">Thus, </w:t>
      </w:r>
      <w:hyperlink r:id="rId10" w:history="1">
        <w:r>
          <w:rPr>
            <w:rStyle w:val="Hyperlink"/>
          </w:rPr>
          <w:t>KPMG</w:t>
        </w:r>
        <w:r w:rsidRPr="00F85376">
          <w:rPr>
            <w:rStyle w:val="Hyperlink"/>
          </w:rPr>
          <w:t xml:space="preserve"> tested Transaction 1 before Transaction 2 by design</w:t>
        </w:r>
      </w:hyperlink>
      <w:r w:rsidRPr="009B295C">
        <w:rPr>
          <w:color w:val="000000"/>
        </w:rPr>
        <w:t>.</w:t>
      </w:r>
      <w:r>
        <w:rPr>
          <w:color w:val="000000"/>
        </w:rPr>
        <w:t xml:space="preserve">  </w:t>
      </w:r>
      <w:r w:rsidRPr="009B295C">
        <w:rPr>
          <w:color w:val="000000"/>
        </w:rPr>
        <w:t xml:space="preserve">The arm’s-length result for Transaction 1, together with the CPM test for Transaction 2, allowed </w:t>
      </w:r>
      <w:r>
        <w:rPr>
          <w:color w:val="000000"/>
        </w:rPr>
        <w:t>KPMG</w:t>
      </w:r>
      <w:r w:rsidRPr="009B295C">
        <w:rPr>
          <w:color w:val="000000"/>
        </w:rPr>
        <w:t xml:space="preserve"> to conclude on the arm’s-length nature of Transaction 2. </w:t>
      </w:r>
    </w:p>
    <w:bookmarkEnd w:id="26"/>
    <w:bookmarkEnd w:id="27"/>
    <w:bookmarkEnd w:id="28"/>
    <w:p w:rsidR="00E10D7F" w:rsidRDefault="00E10D7F" w:rsidP="00E10D7F">
      <w:pPr>
        <w:pStyle w:val="BodyText0"/>
      </w:pPr>
      <w:r w:rsidRPr="009B295C">
        <w:t xml:space="preserve">An abbreviated summary of the basis for </w:t>
      </w:r>
      <w:r>
        <w:t>KPMG’s</w:t>
      </w:r>
      <w:r w:rsidRPr="009B295C">
        <w:t xml:space="preserve"> conclusion is set forth below in </w:t>
      </w:r>
      <w:fldSimple w:instr=" REF _Ref289766494 \h  \* MERGEFORMAT ">
        <w:r w:rsidRPr="0022769E">
          <w:t xml:space="preserve">Table </w:t>
        </w:r>
        <w:r w:rsidRPr="0022769E">
          <w:rPr>
            <w:noProof/>
          </w:rPr>
          <w:t>3</w:t>
        </w:r>
      </w:fldSimple>
      <w:r w:rsidRPr="009B295C">
        <w:t>.</w:t>
      </w:r>
      <w:r w:rsidRPr="00FC020E">
        <w:t xml:space="preserve"> </w:t>
      </w:r>
      <w:r>
        <w:t xml:space="preserve"> </w:t>
      </w:r>
    </w:p>
    <w:p w:rsidR="00E10D7F" w:rsidRDefault="00E10D7F" w:rsidP="00E10D7F">
      <w:pPr>
        <w:pStyle w:val="Caption"/>
        <w:keepNext/>
        <w:keepLines/>
        <w:spacing w:before="120" w:after="120"/>
        <w:jc w:val="center"/>
        <w:rPr>
          <w:szCs w:val="22"/>
        </w:rPr>
      </w:pPr>
      <w:bookmarkStart w:id="29" w:name="_Ref289766494"/>
      <w:r w:rsidRPr="009B295C">
        <w:rPr>
          <w:szCs w:val="22"/>
        </w:rPr>
        <w:t xml:space="preserve">Table </w:t>
      </w:r>
      <w:r w:rsidRPr="009B295C">
        <w:rPr>
          <w:szCs w:val="22"/>
        </w:rPr>
        <w:fldChar w:fldCharType="begin"/>
      </w:r>
      <w:r w:rsidRPr="009B295C">
        <w:rPr>
          <w:szCs w:val="22"/>
        </w:rPr>
        <w:instrText xml:space="preserve"> SEQ Table \* ARABIC </w:instrText>
      </w:r>
      <w:r w:rsidRPr="009B295C">
        <w:rPr>
          <w:szCs w:val="22"/>
        </w:rPr>
        <w:fldChar w:fldCharType="separate"/>
      </w:r>
      <w:r>
        <w:rPr>
          <w:noProof/>
          <w:szCs w:val="22"/>
        </w:rPr>
        <w:t>3</w:t>
      </w:r>
      <w:r w:rsidRPr="009B295C">
        <w:rPr>
          <w:szCs w:val="22"/>
        </w:rPr>
        <w:fldChar w:fldCharType="end"/>
      </w:r>
      <w:bookmarkEnd w:id="29"/>
      <w:r w:rsidRPr="009B295C">
        <w:rPr>
          <w:szCs w:val="22"/>
        </w:rPr>
        <w:t>:</w:t>
      </w:r>
      <w:r>
        <w:rPr>
          <w:szCs w:val="22"/>
        </w:rPr>
        <w:t xml:space="preserve"> </w:t>
      </w:r>
      <w:r w:rsidRPr="00FC020E">
        <w:t xml:space="preserve"> </w:t>
      </w:r>
      <w:r w:rsidRPr="009B295C">
        <w:rPr>
          <w:szCs w:val="22"/>
        </w:rPr>
        <w:t>Summary of Economic Analyses</w:t>
      </w:r>
    </w:p>
    <w:tbl>
      <w:tblPr>
        <w:tblW w:w="8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87"/>
        <w:gridCol w:w="1710"/>
        <w:gridCol w:w="1648"/>
        <w:gridCol w:w="1679"/>
        <w:gridCol w:w="1679"/>
      </w:tblGrid>
      <w:tr w:rsidR="00E10D7F" w:rsidRPr="007F3E3D" w:rsidTr="00E10D7F">
        <w:trPr>
          <w:trHeight w:val="20"/>
          <w:tblHeader/>
          <w:jc w:val="center"/>
        </w:trPr>
        <w:tc>
          <w:tcPr>
            <w:tcW w:w="2187" w:type="dxa"/>
            <w:shd w:val="clear" w:color="auto" w:fill="auto"/>
            <w:noWrap/>
            <w:vAlign w:val="center"/>
          </w:tcPr>
          <w:p w:rsidR="00E10D7F" w:rsidRDefault="00E10D7F" w:rsidP="00E10D7F">
            <w:pPr>
              <w:keepNext/>
              <w:spacing w:before="40" w:after="40"/>
              <w:jc w:val="center"/>
              <w:rPr>
                <w:b/>
                <w:bCs/>
              </w:rPr>
            </w:pPr>
            <w:r w:rsidRPr="009B295C">
              <w:rPr>
                <w:b/>
                <w:bCs/>
              </w:rPr>
              <w:t>Transaction</w:t>
            </w:r>
            <w:r>
              <w:rPr>
                <w:b/>
                <w:bCs/>
              </w:rPr>
              <w:t xml:space="preserve"> (Transaction Volume)</w:t>
            </w:r>
          </w:p>
        </w:tc>
        <w:tc>
          <w:tcPr>
            <w:tcW w:w="1710" w:type="dxa"/>
            <w:shd w:val="clear" w:color="auto" w:fill="auto"/>
            <w:noWrap/>
            <w:vAlign w:val="center"/>
          </w:tcPr>
          <w:p w:rsidR="00E10D7F" w:rsidRDefault="00E10D7F" w:rsidP="00E10D7F">
            <w:pPr>
              <w:keepNext/>
              <w:spacing w:before="40" w:after="40"/>
              <w:jc w:val="center"/>
              <w:rPr>
                <w:b/>
                <w:bCs/>
              </w:rPr>
            </w:pPr>
            <w:r w:rsidRPr="009B295C">
              <w:rPr>
                <w:b/>
                <w:bCs/>
              </w:rPr>
              <w:t>Transfer Pricing Method</w:t>
            </w:r>
          </w:p>
        </w:tc>
        <w:tc>
          <w:tcPr>
            <w:tcW w:w="1648" w:type="dxa"/>
            <w:shd w:val="clear" w:color="auto" w:fill="auto"/>
            <w:noWrap/>
            <w:vAlign w:val="center"/>
          </w:tcPr>
          <w:p w:rsidR="00E10D7F" w:rsidRDefault="00E10D7F" w:rsidP="00E10D7F">
            <w:pPr>
              <w:keepNext/>
              <w:spacing w:before="40" w:after="40"/>
              <w:jc w:val="center"/>
              <w:rPr>
                <w:b/>
                <w:bCs/>
              </w:rPr>
            </w:pPr>
            <w:r w:rsidRPr="009B295C">
              <w:rPr>
                <w:b/>
                <w:bCs/>
              </w:rPr>
              <w:t>Economic Analysis</w:t>
            </w:r>
          </w:p>
        </w:tc>
        <w:tc>
          <w:tcPr>
            <w:tcW w:w="1679" w:type="dxa"/>
            <w:shd w:val="clear" w:color="auto" w:fill="auto"/>
            <w:vAlign w:val="center"/>
          </w:tcPr>
          <w:p w:rsidR="00E10D7F" w:rsidRDefault="00E10D7F" w:rsidP="00E10D7F">
            <w:pPr>
              <w:keepNext/>
              <w:spacing w:before="40" w:after="40"/>
              <w:jc w:val="center"/>
              <w:rPr>
                <w:b/>
                <w:bCs/>
              </w:rPr>
            </w:pPr>
            <w:r w:rsidRPr="009B295C">
              <w:rPr>
                <w:b/>
                <w:bCs/>
              </w:rPr>
              <w:t>Intercompany Transaction Results</w:t>
            </w:r>
          </w:p>
        </w:tc>
        <w:tc>
          <w:tcPr>
            <w:tcW w:w="1679" w:type="dxa"/>
            <w:shd w:val="clear" w:color="auto" w:fill="auto"/>
            <w:vAlign w:val="center"/>
          </w:tcPr>
          <w:p w:rsidR="00E10D7F" w:rsidRDefault="00E10D7F" w:rsidP="00E10D7F">
            <w:pPr>
              <w:keepNext/>
              <w:spacing w:before="40" w:after="40"/>
              <w:jc w:val="center"/>
              <w:rPr>
                <w:b/>
                <w:bCs/>
              </w:rPr>
            </w:pPr>
            <w:r w:rsidRPr="009B295C">
              <w:rPr>
                <w:b/>
                <w:bCs/>
              </w:rPr>
              <w:t>Conclusion</w:t>
            </w:r>
          </w:p>
        </w:tc>
      </w:tr>
      <w:tr w:rsidR="00E10D7F" w:rsidRPr="007F3E3D" w:rsidTr="00E10D7F">
        <w:trPr>
          <w:trHeight w:val="20"/>
          <w:jc w:val="center"/>
        </w:trPr>
        <w:tc>
          <w:tcPr>
            <w:tcW w:w="2187" w:type="dxa"/>
            <w:noWrap/>
          </w:tcPr>
          <w:p w:rsidR="00E10D7F" w:rsidRDefault="00E10D7F" w:rsidP="00E10D7F">
            <w:pPr>
              <w:pStyle w:val="Numbered"/>
              <w:spacing w:before="40" w:after="40"/>
              <w:jc w:val="left"/>
            </w:pPr>
            <w:r w:rsidRPr="009B295C">
              <w:t>Sale of chemicals to</w:t>
            </w:r>
            <w:r>
              <w:t xml:space="preserve">  </w:t>
            </w:r>
            <w:r w:rsidRPr="009B295C">
              <w:t xml:space="preserve">GERCO </w:t>
            </w:r>
            <w:r>
              <w:t>by USCO                ($50 million)</w:t>
            </w:r>
          </w:p>
        </w:tc>
        <w:tc>
          <w:tcPr>
            <w:tcW w:w="1710" w:type="dxa"/>
            <w:noWrap/>
          </w:tcPr>
          <w:p w:rsidR="00E10D7F" w:rsidRDefault="00E10D7F" w:rsidP="00E10D7F">
            <w:pPr>
              <w:pStyle w:val="BodyText0"/>
              <w:spacing w:before="40" w:after="40"/>
              <w:jc w:val="left"/>
            </w:pPr>
            <w:r w:rsidRPr="009B295C">
              <w:t>CUP</w:t>
            </w:r>
          </w:p>
        </w:tc>
        <w:tc>
          <w:tcPr>
            <w:tcW w:w="1648" w:type="dxa"/>
            <w:noWrap/>
          </w:tcPr>
          <w:p w:rsidR="00E10D7F" w:rsidRDefault="00E10D7F" w:rsidP="00E10D7F">
            <w:pPr>
              <w:pStyle w:val="BodyText0"/>
              <w:spacing w:before="40" w:after="40"/>
              <w:jc w:val="left"/>
            </w:pPr>
            <w:r w:rsidRPr="009B295C">
              <w:t>Arm’s</w:t>
            </w:r>
            <w:r>
              <w:t>-</w:t>
            </w:r>
            <w:r w:rsidRPr="009B295C">
              <w:t>length price range from xx to xx</w:t>
            </w:r>
          </w:p>
        </w:tc>
        <w:tc>
          <w:tcPr>
            <w:tcW w:w="1679" w:type="dxa"/>
          </w:tcPr>
          <w:p w:rsidR="00E10D7F" w:rsidRDefault="00E10D7F" w:rsidP="00E10D7F">
            <w:pPr>
              <w:pStyle w:val="BodyText0"/>
              <w:spacing w:before="40" w:after="40"/>
              <w:jc w:val="left"/>
            </w:pPr>
            <w:r w:rsidRPr="009B295C">
              <w:t>USCO’s prices fell within the arm’s-length range</w:t>
            </w:r>
          </w:p>
        </w:tc>
        <w:tc>
          <w:tcPr>
            <w:tcW w:w="1679" w:type="dxa"/>
          </w:tcPr>
          <w:p w:rsidR="00E10D7F" w:rsidRDefault="00E10D7F" w:rsidP="00E10D7F">
            <w:pPr>
              <w:pStyle w:val="BodyText0"/>
              <w:spacing w:before="40" w:after="40"/>
              <w:jc w:val="left"/>
            </w:pPr>
            <w:r w:rsidRPr="009B295C">
              <w:t>USCO’s prices are consistent with arm’s</w:t>
            </w:r>
            <w:r>
              <w:t>-</w:t>
            </w:r>
            <w:r w:rsidRPr="009B295C">
              <w:t>length pricing</w:t>
            </w:r>
          </w:p>
        </w:tc>
      </w:tr>
      <w:tr w:rsidR="00E10D7F" w:rsidRPr="007F3E3D" w:rsidTr="00E10D7F">
        <w:trPr>
          <w:trHeight w:val="20"/>
          <w:jc w:val="center"/>
        </w:trPr>
        <w:tc>
          <w:tcPr>
            <w:tcW w:w="2187" w:type="dxa"/>
            <w:noWrap/>
          </w:tcPr>
          <w:p w:rsidR="00E10D7F" w:rsidRDefault="00E10D7F" w:rsidP="00E10D7F">
            <w:pPr>
              <w:pStyle w:val="Numbered"/>
              <w:spacing w:before="40" w:after="40"/>
              <w:jc w:val="left"/>
            </w:pPr>
            <w:r w:rsidRPr="009B295C">
              <w:t xml:space="preserve">Purchase of chemicals from CANCO </w:t>
            </w:r>
            <w:r>
              <w:t xml:space="preserve">by </w:t>
            </w:r>
            <w:r>
              <w:lastRenderedPageBreak/>
              <w:t>USCO                                                 ($270 million)</w:t>
            </w:r>
          </w:p>
        </w:tc>
        <w:tc>
          <w:tcPr>
            <w:tcW w:w="1710" w:type="dxa"/>
            <w:noWrap/>
          </w:tcPr>
          <w:p w:rsidR="00E10D7F" w:rsidRDefault="00E10D7F" w:rsidP="00E10D7F">
            <w:pPr>
              <w:pStyle w:val="BodyText0"/>
              <w:spacing w:before="40" w:after="40"/>
              <w:jc w:val="left"/>
            </w:pPr>
            <w:r w:rsidRPr="009B295C">
              <w:lastRenderedPageBreak/>
              <w:t xml:space="preserve">CPM with USCO’s chemical </w:t>
            </w:r>
            <w:r w:rsidRPr="009B295C">
              <w:lastRenderedPageBreak/>
              <w:t>segment as the tested party</w:t>
            </w:r>
            <w:r>
              <w:rPr>
                <w:rStyle w:val="FootnoteReference"/>
              </w:rPr>
              <w:footnoteReference w:id="2"/>
            </w:r>
          </w:p>
        </w:tc>
        <w:tc>
          <w:tcPr>
            <w:tcW w:w="1648" w:type="dxa"/>
            <w:noWrap/>
          </w:tcPr>
          <w:p w:rsidR="00E10D7F" w:rsidRDefault="00E10D7F" w:rsidP="00E10D7F">
            <w:pPr>
              <w:pStyle w:val="BodyText0"/>
              <w:spacing w:before="40" w:after="40"/>
              <w:jc w:val="left"/>
            </w:pPr>
            <w:r>
              <w:lastRenderedPageBreak/>
              <w:t>Range of a</w:t>
            </w:r>
            <w:r w:rsidRPr="00FC020E">
              <w:t>rm’s</w:t>
            </w:r>
            <w:r>
              <w:t>-</w:t>
            </w:r>
            <w:r w:rsidRPr="009B295C">
              <w:t>length OM</w:t>
            </w:r>
            <w:r>
              <w:rPr>
                <w:rStyle w:val="FootnoteReference"/>
              </w:rPr>
              <w:footnoteReference w:id="3"/>
            </w:r>
            <w:r w:rsidRPr="009B295C">
              <w:t xml:space="preserve"> over FY08-</w:t>
            </w:r>
            <w:r w:rsidRPr="009B295C">
              <w:lastRenderedPageBreak/>
              <w:t>FY10 from 1.1% to 4.0%</w:t>
            </w:r>
          </w:p>
        </w:tc>
        <w:tc>
          <w:tcPr>
            <w:tcW w:w="1679" w:type="dxa"/>
          </w:tcPr>
          <w:p w:rsidR="00E10D7F" w:rsidRDefault="00E10D7F" w:rsidP="00E10D7F">
            <w:pPr>
              <w:pStyle w:val="BodyText0"/>
              <w:spacing w:before="40" w:after="40"/>
              <w:jc w:val="left"/>
            </w:pPr>
            <w:r w:rsidRPr="009B295C">
              <w:lastRenderedPageBreak/>
              <w:t xml:space="preserve">USCO’s chemical segment OM </w:t>
            </w:r>
            <w:r w:rsidRPr="009B295C">
              <w:lastRenderedPageBreak/>
              <w:t>over FY08-FY10 is</w:t>
            </w:r>
            <w:r>
              <w:t xml:space="preserve">  2.2%</w:t>
            </w:r>
          </w:p>
        </w:tc>
        <w:tc>
          <w:tcPr>
            <w:tcW w:w="1679" w:type="dxa"/>
          </w:tcPr>
          <w:p w:rsidR="00E10D7F" w:rsidRDefault="00E10D7F" w:rsidP="00E10D7F">
            <w:pPr>
              <w:pStyle w:val="BodyText0"/>
              <w:spacing w:before="40" w:after="40"/>
              <w:jc w:val="left"/>
            </w:pPr>
            <w:r w:rsidRPr="009B295C">
              <w:lastRenderedPageBreak/>
              <w:t xml:space="preserve">USCO’s segmented OM is consistent </w:t>
            </w:r>
            <w:r w:rsidRPr="009B295C">
              <w:lastRenderedPageBreak/>
              <w:t>with arm’s-length range</w:t>
            </w:r>
          </w:p>
        </w:tc>
      </w:tr>
    </w:tbl>
    <w:p w:rsidR="00E10D7F" w:rsidRDefault="00E10D7F" w:rsidP="00E10D7F">
      <w:pPr>
        <w:pStyle w:val="Heading20"/>
      </w:pPr>
      <w:bookmarkStart w:id="30" w:name="_Toc155939720"/>
      <w:bookmarkStart w:id="31" w:name="_Toc155941697"/>
      <w:bookmarkStart w:id="32" w:name="_Toc200781313"/>
      <w:bookmarkStart w:id="33" w:name="_Toc289767902"/>
      <w:bookmarkStart w:id="34" w:name="_Toc289781364"/>
      <w:bookmarkStart w:id="35" w:name="_Toc327559238"/>
      <w:r w:rsidRPr="009B295C">
        <w:lastRenderedPageBreak/>
        <w:t>Basis for Opinion</w:t>
      </w:r>
      <w:bookmarkStart w:id="36" w:name="_Toc155939721"/>
      <w:bookmarkStart w:id="37" w:name="_Toc155941698"/>
      <w:bookmarkEnd w:id="30"/>
      <w:bookmarkEnd w:id="31"/>
      <w:bookmarkEnd w:id="32"/>
      <w:bookmarkEnd w:id="33"/>
      <w:bookmarkEnd w:id="34"/>
      <w:bookmarkEnd w:id="35"/>
      <w:bookmarkEnd w:id="36"/>
      <w:bookmarkEnd w:id="37"/>
    </w:p>
    <w:p w:rsidR="00E10D7F" w:rsidRDefault="00E10D7F" w:rsidP="00E10D7F">
      <w:pPr>
        <w:pStyle w:val="BodyText0"/>
      </w:pPr>
      <w:bookmarkStart w:id="38" w:name="_Toc155939722"/>
      <w:bookmarkStart w:id="39" w:name="_Toc155941699"/>
      <w:r w:rsidRPr="009B295C">
        <w:t>KPMG prepared this report to assist USCO in its preparation of certain transfer pricing documentation required for the potential avoidance of penalties under IRC §6662 and the associated regulations.</w:t>
      </w:r>
      <w:r>
        <w:t xml:space="preserve"> </w:t>
      </w:r>
      <w:r w:rsidRPr="00FC020E">
        <w:t xml:space="preserve"> </w:t>
      </w:r>
      <w:r w:rsidRPr="009B295C">
        <w:t>Absent appropriate contemporaneous documentation, §6662 allows the IRS to assess penalties in cases in which it deems a company’s transfer pricing is not consistent with the arm’s</w:t>
      </w:r>
      <w:r>
        <w:t>-</w:t>
      </w:r>
      <w:r w:rsidRPr="009B295C">
        <w:t>length standard under the §482 regulations.</w:t>
      </w:r>
      <w:r>
        <w:rPr>
          <w:rStyle w:val="FootnoteReference"/>
          <w:color w:val="000000"/>
        </w:rPr>
        <w:footnoteReference w:id="4"/>
      </w:r>
    </w:p>
    <w:p w:rsidR="00E10D7F" w:rsidRDefault="00E10D7F" w:rsidP="00E10D7F">
      <w:pPr>
        <w:pStyle w:val="BodyText0"/>
      </w:pPr>
      <w:r w:rsidRPr="009B295C">
        <w:t>KPMG has based the conclusions contained in this analysis on the facts and representations set forth in this analysis.</w:t>
      </w:r>
      <w:r>
        <w:t xml:space="preserve"> </w:t>
      </w:r>
      <w:r w:rsidRPr="00FC020E">
        <w:t xml:space="preserve"> </w:t>
      </w:r>
      <w:r w:rsidRPr="009B295C">
        <w:t>The Company represented to KPMG that it has provided all of the facts, circumstances, and information that it knows or has reason to know are pertinent to this analysis.</w:t>
      </w:r>
      <w:r>
        <w:t xml:space="preserve"> </w:t>
      </w:r>
      <w:r w:rsidRPr="00FC020E">
        <w:t xml:space="preserve"> </w:t>
      </w:r>
      <w:r w:rsidRPr="009B295C">
        <w:t>KPMG has not independently verified, and will not independently verify, the completeness or accuracy of any of these facts.</w:t>
      </w:r>
      <w:r>
        <w:t xml:space="preserve"> </w:t>
      </w:r>
      <w:r w:rsidRPr="00FC020E">
        <w:t xml:space="preserve"> </w:t>
      </w:r>
      <w:r w:rsidRPr="009B295C">
        <w:t>If any of these facts or representations are not entirely complete or accurate, it is imperative that USCO inform KPMG immediately in writing, because any incompleteness or inaccuracy could cause changes to the conclusions presented herein.</w:t>
      </w:r>
    </w:p>
    <w:p w:rsidR="00E10D7F" w:rsidRDefault="00E10D7F" w:rsidP="00E10D7F">
      <w:pPr>
        <w:pStyle w:val="BodyText0"/>
      </w:pPr>
      <w:r w:rsidRPr="009B295C">
        <w:t xml:space="preserve">Appendix </w:t>
      </w:r>
      <w:r>
        <w:fldChar w:fldCharType="begin"/>
      </w:r>
      <w:r>
        <w:instrText xml:space="preserve"> REF _Ref326395101 \r \h </w:instrText>
      </w:r>
      <w:r>
        <w:fldChar w:fldCharType="separate"/>
      </w:r>
      <w:r>
        <w:t>B</w:t>
      </w:r>
      <w:r>
        <w:fldChar w:fldCharType="end"/>
      </w:r>
      <w:r>
        <w:t xml:space="preserve"> </w:t>
      </w:r>
      <w:r w:rsidRPr="009B295C">
        <w:t>lists the materials that USCO provided to KPMG for this analysis.</w:t>
      </w:r>
      <w:r>
        <w:t xml:space="preserve"> </w:t>
      </w:r>
      <w:r w:rsidRPr="00FC020E">
        <w:t xml:space="preserve"> </w:t>
      </w:r>
      <w:r w:rsidRPr="009B295C">
        <w:t>KPMG has not examined all of the documents necessary to execute the examined transactions, and assumes that USCO has taken all necessary steps to execute the transactions as required by applicable federal, state, or local law.</w:t>
      </w:r>
    </w:p>
    <w:p w:rsidR="00E10D7F" w:rsidRDefault="00E10D7F" w:rsidP="00E10D7F">
      <w:pPr>
        <w:pStyle w:val="BodyText0"/>
      </w:pPr>
      <w:r w:rsidRPr="009B295C">
        <w:t>While KPMG believes that the conclusions in this report are consistent with the relevant provisions of IRC §482, as amended, the regulations thereunder, and the judicial and administrative interpretations thereof, there can be no guarantee that tax authorities will agree.</w:t>
      </w:r>
      <w:r>
        <w:t xml:space="preserve"> </w:t>
      </w:r>
      <w:r w:rsidRPr="00FC020E">
        <w:t xml:space="preserve"> </w:t>
      </w:r>
      <w:r w:rsidRPr="009B295C">
        <w:t>These authorities are subject to change, retroactively or prospectively, and any such change could affect the validity of the conclusions presented herein.</w:t>
      </w:r>
      <w:r>
        <w:t xml:space="preserve"> </w:t>
      </w:r>
      <w:r w:rsidRPr="00FC020E">
        <w:t xml:space="preserve"> </w:t>
      </w:r>
      <w:r w:rsidRPr="009B295C">
        <w:t>Unless specifically engaged, KPMG will not update the advice rendered in this report for subsequent changes or modifications to the law and regulations or to the judicial and administrative interpretations thereof.</w:t>
      </w:r>
    </w:p>
    <w:p w:rsidR="00E10D7F" w:rsidRDefault="00E10D7F" w:rsidP="00E10D7F">
      <w:pPr>
        <w:pStyle w:val="Heading20"/>
        <w:rPr>
          <w:szCs w:val="22"/>
        </w:rPr>
      </w:pPr>
      <w:bookmarkStart w:id="40" w:name="_Toc200781314"/>
      <w:bookmarkStart w:id="41" w:name="_Toc289767903"/>
      <w:bookmarkStart w:id="42" w:name="_Toc289781365"/>
      <w:bookmarkStart w:id="43" w:name="_Toc327559239"/>
      <w:r w:rsidRPr="009B295C">
        <w:t>Report Contents</w:t>
      </w:r>
      <w:bookmarkEnd w:id="38"/>
      <w:bookmarkEnd w:id="39"/>
      <w:bookmarkEnd w:id="40"/>
      <w:bookmarkEnd w:id="41"/>
      <w:bookmarkEnd w:id="42"/>
      <w:bookmarkEnd w:id="43"/>
      <w:r w:rsidRPr="009B295C">
        <w:t xml:space="preserve"> </w:t>
      </w:r>
    </w:p>
    <w:p w:rsidR="00E10D7F" w:rsidRDefault="00E10D7F" w:rsidP="00E10D7F">
      <w:pPr>
        <w:pStyle w:val="BodyText0"/>
        <w:rPr>
          <w:b/>
          <w:i/>
          <w:color w:val="4F81BD" w:themeColor="accent1"/>
          <w:szCs w:val="22"/>
        </w:rPr>
      </w:pPr>
      <w:r w:rsidRPr="009B295C">
        <w:rPr>
          <w:b/>
          <w:i/>
          <w:color w:val="4F81BD" w:themeColor="accent1"/>
        </w:rPr>
        <w:t>[THIS SECTION IS OPTIONAL]</w:t>
      </w:r>
    </w:p>
    <w:p w:rsidR="00E10D7F" w:rsidRDefault="00E10D7F" w:rsidP="00E10D7F">
      <w:pPr>
        <w:pStyle w:val="BodyText0"/>
      </w:pPr>
      <w:r w:rsidRPr="009B295C">
        <w:t>Subsequent to this Introduction and Executive Summary, this report contains the following sections:</w:t>
      </w:r>
      <w:r>
        <w:t xml:space="preserve"> </w:t>
      </w:r>
      <w:r w:rsidRPr="00FC020E">
        <w:t xml:space="preserve"> </w:t>
      </w:r>
      <w:r w:rsidRPr="009B295C">
        <w:t>Section 2 presents an overview of USCO’s organizational structure, products, intangible property, customers and competition.</w:t>
      </w:r>
      <w:r w:rsidRPr="00FC020E">
        <w:t xml:space="preserve"> </w:t>
      </w:r>
      <w:r>
        <w:t xml:space="preserve"> </w:t>
      </w:r>
      <w:r w:rsidRPr="009B295C">
        <w:t>Section 3 describes the Intercompany Transactions.</w:t>
      </w:r>
      <w:r>
        <w:t xml:space="preserve"> </w:t>
      </w:r>
      <w:r w:rsidRPr="00FC020E">
        <w:t xml:space="preserve"> </w:t>
      </w:r>
      <w:r w:rsidRPr="009B295C">
        <w:t>Section 4 provides an industry overview.</w:t>
      </w:r>
      <w:r>
        <w:t xml:space="preserve"> </w:t>
      </w:r>
      <w:r w:rsidRPr="00FC020E">
        <w:t xml:space="preserve"> </w:t>
      </w:r>
      <w:r w:rsidRPr="009B295C">
        <w:t>Section 5 presents an analysis of the relevant functions and risks.</w:t>
      </w:r>
      <w:r>
        <w:t xml:space="preserve"> </w:t>
      </w:r>
      <w:r w:rsidRPr="00FC020E">
        <w:t xml:space="preserve"> </w:t>
      </w:r>
      <w:r w:rsidRPr="009B295C">
        <w:t>Section 6 discusses KPMG’s selection of transfer pricing methods.</w:t>
      </w:r>
      <w:r>
        <w:t xml:space="preserve"> </w:t>
      </w:r>
      <w:r w:rsidRPr="00FC020E">
        <w:t xml:space="preserve"> </w:t>
      </w:r>
      <w:r w:rsidRPr="009B295C">
        <w:t>Section 7 describes the economic analysis.</w:t>
      </w:r>
      <w:r>
        <w:t xml:space="preserve"> </w:t>
      </w:r>
      <w:r w:rsidRPr="00FC020E">
        <w:t xml:space="preserve"> </w:t>
      </w:r>
      <w:r w:rsidRPr="009B295C">
        <w:t xml:space="preserve">Section 8 presents conclusions and the Appendices provide supporting documentation. </w:t>
      </w:r>
    </w:p>
    <w:p w:rsidR="00E10D7F" w:rsidRDefault="00E10D7F" w:rsidP="00E10D7F">
      <w:pPr>
        <w:pStyle w:val="BodyText0"/>
      </w:pPr>
    </w:p>
    <w:p w:rsidR="00E10D7F" w:rsidRDefault="00E10D7F" w:rsidP="00E10D7F">
      <w:pPr>
        <w:pStyle w:val="Heading10"/>
        <w:spacing w:before="130" w:after="130"/>
      </w:pPr>
      <w:bookmarkStart w:id="44" w:name="_Toc200781315"/>
      <w:bookmarkStart w:id="45" w:name="_Toc289767904"/>
      <w:bookmarkStart w:id="46" w:name="_Toc289781366"/>
      <w:bookmarkStart w:id="47" w:name="_Toc327559240"/>
      <w:r w:rsidRPr="009B295C">
        <w:lastRenderedPageBreak/>
        <w:t>Company Overview</w:t>
      </w:r>
      <w:bookmarkEnd w:id="44"/>
      <w:bookmarkEnd w:id="45"/>
      <w:bookmarkEnd w:id="46"/>
      <w:bookmarkEnd w:id="47"/>
    </w:p>
    <w:p w:rsidR="00E10D7F" w:rsidRPr="001975C9"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b/>
        </w:rPr>
      </w:pPr>
      <w:r>
        <w:fldChar w:fldCharType="begin"/>
      </w:r>
      <w:r>
        <w:instrText xml:space="preserve"> HYPERLINK "http://usportal.us.kworld.kpmg.com/us/Functions/tax/evs/tp/TPWiki/wiki%20pages/2.%20company%20overview%20-%20technical%20guidance.aspx?usersegment=9D92EDE4EA54691B5BEC8CA1C42092FD" </w:instrText>
      </w:r>
      <w:r>
        <w:fldChar w:fldCharType="separate"/>
      </w:r>
      <w:r w:rsidRPr="001975C9">
        <w:rPr>
          <w:rStyle w:val="Hyperlink"/>
          <w:b/>
        </w:rPr>
        <w:t>TECHNICAL GUIDANCE ON WIKI</w:t>
      </w:r>
    </w:p>
    <w:p w:rsidR="00E10D7F" w:rsidRPr="00F33AB9"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p>
    <w:p w:rsidR="00E10D7F" w:rsidRPr="00F33AB9"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F33AB9">
        <w:rPr>
          <w:rStyle w:val="Hyperlink"/>
        </w:rPr>
        <w:t>2.1</w:t>
      </w:r>
      <w:r w:rsidRPr="00F33AB9">
        <w:rPr>
          <w:rStyle w:val="Hyperlink"/>
        </w:rPr>
        <w:tab/>
        <w:t>Purpose of Company Overview Section</w:t>
      </w:r>
    </w:p>
    <w:p w:rsidR="00E10D7F" w:rsidRPr="00F33AB9"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F33AB9">
        <w:rPr>
          <w:rStyle w:val="Hyperlink"/>
        </w:rPr>
        <w:t>2.2</w:t>
      </w:r>
      <w:r w:rsidRPr="00F33AB9">
        <w:rPr>
          <w:rStyle w:val="Hyperlink"/>
        </w:rPr>
        <w:tab/>
        <w:t>Company Background</w:t>
      </w:r>
    </w:p>
    <w:p w:rsidR="00E10D7F" w:rsidRPr="00F33AB9"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F33AB9">
        <w:rPr>
          <w:rStyle w:val="Hyperlink"/>
        </w:rPr>
        <w:t>2.3</w:t>
      </w:r>
      <w:r w:rsidRPr="00F33AB9">
        <w:rPr>
          <w:rStyle w:val="Hyperlink"/>
        </w:rPr>
        <w:tab/>
        <w:t>Products</w:t>
      </w:r>
    </w:p>
    <w:p w:rsidR="00E10D7F"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pPr>
      <w:r w:rsidRPr="00F33AB9">
        <w:rPr>
          <w:rStyle w:val="Hyperlink"/>
        </w:rPr>
        <w:t>2.4</w:t>
      </w:r>
      <w:r w:rsidRPr="00F33AB9">
        <w:rPr>
          <w:rStyle w:val="Hyperlink"/>
        </w:rPr>
        <w:tab/>
        <w:t>Financial Data</w:t>
      </w:r>
      <w:r>
        <w:fldChar w:fldCharType="end"/>
      </w:r>
    </w:p>
    <w:p w:rsidR="00E10D7F" w:rsidRDefault="00E10D7F" w:rsidP="00E10D7F">
      <w:pPr>
        <w:pStyle w:val="BodyText0"/>
      </w:pPr>
    </w:p>
    <w:p w:rsidR="00E10D7F" w:rsidRDefault="00E10D7F" w:rsidP="00E10D7F">
      <w:pPr>
        <w:pStyle w:val="Heading20"/>
      </w:pPr>
      <w:bookmarkStart w:id="48" w:name="_Toc155941589"/>
      <w:bookmarkStart w:id="49" w:name="_Toc155941702"/>
      <w:bookmarkStart w:id="50" w:name="_Toc200781316"/>
      <w:bookmarkStart w:id="51" w:name="_Toc289767905"/>
      <w:bookmarkStart w:id="52" w:name="_Toc289781367"/>
      <w:bookmarkStart w:id="53" w:name="_Toc327559241"/>
      <w:bookmarkStart w:id="54" w:name="OLE_LINK1"/>
      <w:bookmarkStart w:id="55" w:name="OLE_LINK2"/>
      <w:bookmarkStart w:id="56" w:name="OLE_LINK5"/>
      <w:bookmarkEnd w:id="48"/>
      <w:bookmarkEnd w:id="49"/>
      <w:r w:rsidRPr="009B295C">
        <w:t>Company Background and Organization</w:t>
      </w:r>
      <w:bookmarkEnd w:id="50"/>
      <w:bookmarkEnd w:id="51"/>
      <w:bookmarkEnd w:id="52"/>
      <w:bookmarkEnd w:id="53"/>
    </w:p>
    <w:p w:rsidR="00E10D7F" w:rsidRDefault="00E10D7F" w:rsidP="00E10D7F">
      <w:pPr>
        <w:pStyle w:val="BodyText0"/>
      </w:pPr>
      <w:r w:rsidRPr="009B295C">
        <w:t>USCO, together with its subsidiaries, (“USCO Group”) manufactures and distributes chemicals and chemical processing equipment, pharmaceuticals, and synthetic food flavorings in North America, Asia and Europe.</w:t>
      </w:r>
      <w:r>
        <w:t xml:space="preserve"> </w:t>
      </w:r>
      <w:r w:rsidRPr="000403E6">
        <w:t xml:space="preserve"> </w:t>
      </w:r>
      <w:r w:rsidRPr="009B295C">
        <w:t>USCO is incorporated in the United States, and based in Portland, Oregon.</w:t>
      </w:r>
      <w:r>
        <w:t xml:space="preserve"> </w:t>
      </w:r>
      <w:r w:rsidRPr="000403E6">
        <w:t xml:space="preserve"> </w:t>
      </w:r>
      <w:r w:rsidRPr="009B295C">
        <w:t>USCO’s subsidiaries are located in several countries in North America, Asia and Europe.</w:t>
      </w:r>
      <w:r w:rsidRPr="000403E6">
        <w:t xml:space="preserve">   </w:t>
      </w:r>
      <w:r>
        <w:t xml:space="preserve"> </w:t>
      </w:r>
    </w:p>
    <w:p w:rsidR="00E10D7F" w:rsidRDefault="00E10D7F" w:rsidP="00E10D7F">
      <w:pPr>
        <w:pStyle w:val="BodyText0"/>
      </w:pPr>
      <w:r w:rsidRPr="009B295C">
        <w:t xml:space="preserve"> </w:t>
      </w:r>
      <w:r>
        <w:fldChar w:fldCharType="begin"/>
      </w:r>
      <w:r>
        <w:instrText xml:space="preserve"> REF _Ref326398947 \h </w:instrText>
      </w:r>
      <w:r>
        <w:fldChar w:fldCharType="separate"/>
      </w:r>
      <w:r>
        <w:t xml:space="preserve">Figure </w:t>
      </w:r>
      <w:r>
        <w:rPr>
          <w:noProof/>
        </w:rPr>
        <w:t>1</w:t>
      </w:r>
      <w:r>
        <w:fldChar w:fldCharType="end"/>
      </w:r>
      <w:r>
        <w:t xml:space="preserve"> </w:t>
      </w:r>
      <w:r w:rsidRPr="009B295C">
        <w:t>illustrates the entities relevant to this study, as of FY1</w:t>
      </w:r>
      <w:r>
        <w:t>1.</w:t>
      </w:r>
      <w:r>
        <w:rPr>
          <w:rStyle w:val="FootnoteReference"/>
          <w:color w:val="000000"/>
        </w:rPr>
        <w:footnoteReference w:id="5"/>
      </w:r>
    </w:p>
    <w:p w:rsidR="00E10D7F" w:rsidRPr="007F3E3D" w:rsidRDefault="00E10D7F" w:rsidP="00E10D7F">
      <w:pPr>
        <w:pStyle w:val="Caption"/>
        <w:jc w:val="center"/>
      </w:pPr>
      <w:r w:rsidRPr="00913E28">
        <w:t xml:space="preserve"> </w:t>
      </w:r>
      <w:bookmarkStart w:id="57" w:name="_Ref326398947"/>
      <w:r>
        <w:t xml:space="preserve">Figure </w:t>
      </w:r>
      <w:fldSimple w:instr=" SEQ Figure \* ARABIC ">
        <w:r>
          <w:rPr>
            <w:noProof/>
          </w:rPr>
          <w:t>1</w:t>
        </w:r>
      </w:fldSimple>
      <w:bookmarkEnd w:id="57"/>
      <w:r w:rsidRPr="009B295C">
        <w:t>: Partial Organization Chart</w:t>
      </w:r>
    </w:p>
    <w:p w:rsidR="00E10D7F" w:rsidRPr="007F3E3D" w:rsidRDefault="00E10D7F" w:rsidP="00E10D7F">
      <w:r>
        <w:rPr>
          <w:noProof/>
        </w:rPr>
        <w:pict>
          <v:shape id="_x0000_s1027" type="#_x0000_t202" style="position:absolute;margin-left:178pt;margin-top:9.3pt;width:101.25pt;height:31.5pt;z-index:251661312">
            <v:textbox style="mso-next-textbox:#_x0000_s1027">
              <w:txbxContent>
                <w:p w:rsidR="00E10D7F" w:rsidRDefault="00E10D7F" w:rsidP="00E10D7F">
                  <w:pPr>
                    <w:spacing w:before="120"/>
                    <w:jc w:val="center"/>
                  </w:pPr>
                  <w:r>
                    <w:t>USCO</w:t>
                  </w:r>
                </w:p>
              </w:txbxContent>
            </v:textbox>
          </v:shape>
        </w:pict>
      </w:r>
    </w:p>
    <w:p w:rsidR="00E10D7F" w:rsidRPr="007F3E3D" w:rsidRDefault="00E10D7F" w:rsidP="00E10D7F">
      <w:pPr>
        <w:pStyle w:val="BodyText"/>
        <w:spacing w:before="0" w:after="0"/>
        <w:jc w:val="center"/>
        <w:rPr>
          <w:color w:val="000000"/>
        </w:rPr>
      </w:pPr>
    </w:p>
    <w:p w:rsidR="00E10D7F" w:rsidRPr="007F3E3D" w:rsidRDefault="00E10D7F" w:rsidP="00E10D7F">
      <w:pPr>
        <w:pStyle w:val="BodyText0"/>
      </w:pPr>
      <w:bookmarkStart w:id="58" w:name="_Toc200781317"/>
      <w:bookmarkEnd w:id="54"/>
      <w:bookmarkEnd w:id="55"/>
      <w:bookmarkEnd w:id="56"/>
      <w:r>
        <w:rPr>
          <w:noProof/>
        </w:rPr>
        <w:pict>
          <v:rect id="_x0000_s1026" style="position:absolute;left:0;text-align:left;margin-left:221.5pt;margin-top:17pt;width:48pt;height:21pt;z-index:251660288" filled="f" stroked="f">
            <v:textbox style="mso-next-textbox:#_x0000_s1026">
              <w:txbxContent>
                <w:p w:rsidR="00E10D7F" w:rsidRPr="0052630B" w:rsidRDefault="00E10D7F" w:rsidP="00E10D7F">
                  <w:pPr>
                    <w:rPr>
                      <w:sz w:val="18"/>
                      <w:szCs w:val="18"/>
                    </w:rPr>
                  </w:pPr>
                  <w:r w:rsidRPr="0052630B">
                    <w:rPr>
                      <w:sz w:val="18"/>
                      <w:szCs w:val="18"/>
                    </w:rPr>
                    <w:t>100%</w:t>
                  </w:r>
                </w:p>
              </w:txbxContent>
            </v:textbox>
          </v:rect>
        </w:pict>
      </w:r>
      <w:r>
        <w:rPr>
          <w:noProof/>
        </w:rPr>
        <w:pict>
          <v:shapetype id="_x0000_t32" coordsize="21600,21600" o:spt="32" o:oned="t" path="m,l21600,21600e" filled="f">
            <v:path arrowok="t" fillok="f" o:connecttype="none"/>
            <o:lock v:ext="edit" shapetype="t"/>
          </v:shapetype>
          <v:shape id="_x0000_s1034" type="#_x0000_t32" style="position:absolute;left:0;text-align:left;margin-left:226pt;margin-top:15.5pt;width:0;height:21pt;z-index:251668480" o:connectortype="straight"/>
        </w:pict>
      </w:r>
    </w:p>
    <w:p w:rsidR="00E10D7F" w:rsidRPr="007F3E3D" w:rsidRDefault="00E10D7F" w:rsidP="00E10D7F">
      <w:pPr>
        <w:pStyle w:val="BodyText0"/>
      </w:pPr>
      <w:r>
        <w:rPr>
          <w:noProof/>
        </w:rPr>
        <w:pict>
          <v:shape id="_x0000_s1033" type="#_x0000_t32" style="position:absolute;left:0;text-align:left;margin-left:299.5pt;margin-top:11.6pt;width:0;height:21pt;z-index:251667456" o:connectortype="straight"/>
        </w:pict>
      </w:r>
      <w:r>
        <w:rPr>
          <w:noProof/>
        </w:rPr>
        <w:pict>
          <v:shape id="_x0000_s1032" type="#_x0000_t32" style="position:absolute;left:0;text-align:left;margin-left:151.75pt;margin-top:11.6pt;width:0;height:21pt;z-index:251666432" o:connectortype="straight"/>
        </w:pict>
      </w:r>
      <w:r>
        <w:rPr>
          <w:noProof/>
        </w:rPr>
        <w:pict>
          <v:shape id="_x0000_s1031" type="#_x0000_t32" style="position:absolute;left:0;text-align:left;margin-left:151.75pt;margin-top:11.6pt;width:147.75pt;height:0;z-index:251665408" o:connectortype="straight"/>
        </w:pict>
      </w:r>
    </w:p>
    <w:p w:rsidR="00E10D7F" w:rsidRPr="007F3E3D" w:rsidRDefault="00E10D7F" w:rsidP="00E10D7F">
      <w:pPr>
        <w:pStyle w:val="BodyText0"/>
      </w:pPr>
      <w:r>
        <w:rPr>
          <w:noProof/>
        </w:rPr>
        <w:pict>
          <v:shape id="_x0000_s1029" type="#_x0000_t202" style="position:absolute;left:0;text-align:left;margin-left:102.25pt;margin-top:13.45pt;width:101.25pt;height:31.5pt;z-index:251663360">
            <v:textbox style="mso-next-textbox:#_x0000_s1029">
              <w:txbxContent>
                <w:p w:rsidR="00E10D7F" w:rsidRDefault="00E10D7F" w:rsidP="00E10D7F">
                  <w:pPr>
                    <w:spacing w:before="120"/>
                    <w:jc w:val="center"/>
                  </w:pPr>
                  <w:r>
                    <w:t>CANCO</w:t>
                  </w:r>
                </w:p>
              </w:txbxContent>
            </v:textbox>
          </v:shape>
        </w:pict>
      </w:r>
      <w:r>
        <w:rPr>
          <w:noProof/>
        </w:rPr>
        <w:pict>
          <v:shape id="_x0000_s1030" type="#_x0000_t202" style="position:absolute;left:0;text-align:left;margin-left:245.5pt;margin-top:13.45pt;width:101.25pt;height:31.5pt;z-index:251664384">
            <v:textbox style="mso-next-textbox:#_x0000_s1030">
              <w:txbxContent>
                <w:p w:rsidR="00E10D7F" w:rsidRDefault="00E10D7F" w:rsidP="00E10D7F">
                  <w:pPr>
                    <w:spacing w:before="120"/>
                    <w:jc w:val="center"/>
                  </w:pPr>
                  <w:r>
                    <w:t>GERCO</w:t>
                  </w:r>
                </w:p>
              </w:txbxContent>
            </v:textbox>
          </v:shape>
        </w:pict>
      </w:r>
    </w:p>
    <w:p w:rsidR="00E10D7F" w:rsidRPr="007F3E3D" w:rsidRDefault="00E10D7F" w:rsidP="00E10D7F">
      <w:pPr>
        <w:pStyle w:val="BodyText0"/>
      </w:pPr>
    </w:p>
    <w:p w:rsidR="00E10D7F" w:rsidRPr="007F3E3D" w:rsidRDefault="00E10D7F" w:rsidP="00E10D7F">
      <w:pPr>
        <w:pStyle w:val="BodyText0"/>
      </w:pPr>
    </w:p>
    <w:p w:rsidR="00E10D7F" w:rsidRDefault="00E10D7F" w:rsidP="00E10D7F">
      <w:pPr>
        <w:pStyle w:val="BodyText0"/>
      </w:pPr>
    </w:p>
    <w:p w:rsidR="00E10D7F" w:rsidRDefault="00E10D7F" w:rsidP="00E10D7F">
      <w:pPr>
        <w:pStyle w:val="BodyText0"/>
      </w:pPr>
      <w:r>
        <w:t xml:space="preserve">The following sections </w:t>
      </w:r>
      <w:r w:rsidRPr="009B295C">
        <w:t>provide a brief description of the entities relevant to this transfer pricing study</w:t>
      </w:r>
      <w:r>
        <w:t xml:space="preserve"> </w:t>
      </w:r>
      <w:r w:rsidRPr="009B295C">
        <w:t>and their operations.</w:t>
      </w:r>
    </w:p>
    <w:p w:rsidR="00E10D7F" w:rsidRDefault="00E10D7F" w:rsidP="00E10D7F">
      <w:pPr>
        <w:pStyle w:val="Heading3"/>
        <w:spacing w:before="130" w:after="130"/>
      </w:pPr>
      <w:r w:rsidRPr="009B295C">
        <w:t>USCO</w:t>
      </w:r>
      <w:bookmarkEnd w:id="58"/>
    </w:p>
    <w:p w:rsidR="00E10D7F" w:rsidRDefault="00E10D7F" w:rsidP="00E10D7F">
      <w:pPr>
        <w:pStyle w:val="BodyText0"/>
      </w:pPr>
      <w:r w:rsidRPr="009B295C">
        <w:t>USCO manufactures and distributes chemicals and chemical processing equipment to the electronics, energy, food, personal care, pest control, pharmaceutical and waste management industries.</w:t>
      </w:r>
      <w:r>
        <w:t xml:space="preserve">  </w:t>
      </w:r>
      <w:r w:rsidRPr="009B295C">
        <w:t>USCO’s operations are organized into five business segments: (1) Chemicals; (2) Chemical Processing Equipment; (3) Laboratory Equipment; (4) Pharmaceuticals; and (5) Food Flavorings.</w:t>
      </w:r>
      <w:r>
        <w:t xml:space="preserve">  </w:t>
      </w:r>
      <w:r w:rsidRPr="009B295C">
        <w:t>The intercompany transactions documented in this report are undertaken by the Chemicals business segment of USCO.</w:t>
      </w:r>
    </w:p>
    <w:p w:rsidR="00E10D7F" w:rsidRDefault="00E10D7F" w:rsidP="00E10D7F">
      <w:pPr>
        <w:pStyle w:val="Heading3"/>
        <w:spacing w:before="130" w:after="130"/>
      </w:pPr>
      <w:r w:rsidRPr="009B295C">
        <w:t>CANCO</w:t>
      </w:r>
    </w:p>
    <w:p w:rsidR="00E10D7F" w:rsidRDefault="00E10D7F" w:rsidP="00E10D7F">
      <w:pPr>
        <w:pStyle w:val="BodyText0"/>
      </w:pPr>
      <w:r w:rsidRPr="009B295C">
        <w:t>CANCO is a wholly-owned subsidiary of USCO located in Toronto, Canada.</w:t>
      </w:r>
      <w:r>
        <w:t xml:space="preserve">  </w:t>
      </w:r>
      <w:r w:rsidRPr="009B295C">
        <w:t>CANCO produces chemicals, in particular, polystyrene and polyurethanes, in Canada and sells them to USCO for distribution to related and third parties.</w:t>
      </w:r>
      <w:r>
        <w:t xml:space="preserve"> </w:t>
      </w:r>
      <w:r w:rsidRPr="00FC020E">
        <w:t xml:space="preserve"> </w:t>
      </w:r>
    </w:p>
    <w:p w:rsidR="00E10D7F" w:rsidRDefault="00E10D7F" w:rsidP="00E10D7F">
      <w:pPr>
        <w:pStyle w:val="Heading3"/>
        <w:spacing w:before="130" w:after="130"/>
      </w:pPr>
      <w:r w:rsidRPr="009B295C">
        <w:t>GERCO</w:t>
      </w:r>
    </w:p>
    <w:p w:rsidR="00E10D7F" w:rsidRDefault="00E10D7F" w:rsidP="00E10D7F">
      <w:pPr>
        <w:pStyle w:val="BodyText0"/>
      </w:pPr>
      <w:r w:rsidRPr="009B295C">
        <w:t>GERCO is a wholly-owned subsidiary of USCO located in Munich, Germany.</w:t>
      </w:r>
      <w:r>
        <w:t xml:space="preserve">  </w:t>
      </w:r>
      <w:r w:rsidRPr="009B295C">
        <w:t>GERCO manufactures chemical processing equipment and laboratory equipment in Germany and sells it to third parties.</w:t>
      </w:r>
      <w:r>
        <w:t xml:space="preserve">  </w:t>
      </w:r>
      <w:r w:rsidRPr="009B295C">
        <w:t xml:space="preserve">The </w:t>
      </w:r>
      <w:r w:rsidRPr="009B295C">
        <w:lastRenderedPageBreak/>
        <w:t xml:space="preserve">Laboratory Segment of GERCO sells petri dishes and other laboratory containers to third parties, and is the business segment that engages in </w:t>
      </w:r>
      <w:r>
        <w:t>Transaction</w:t>
      </w:r>
      <w:r w:rsidRPr="009B295C">
        <w:t xml:space="preserve"> 1. </w:t>
      </w:r>
    </w:p>
    <w:p w:rsidR="00E10D7F" w:rsidRDefault="00E10D7F" w:rsidP="00E10D7F">
      <w:pPr>
        <w:pStyle w:val="Heading20"/>
      </w:pPr>
      <w:bookmarkStart w:id="59" w:name="_Toc287890873"/>
      <w:bookmarkStart w:id="60" w:name="_Toc287890874"/>
      <w:bookmarkStart w:id="61" w:name="_Toc287890875"/>
      <w:bookmarkStart w:id="62" w:name="_Toc287890876"/>
      <w:bookmarkStart w:id="63" w:name="_Toc287890877"/>
      <w:bookmarkStart w:id="64" w:name="_Toc287890878"/>
      <w:bookmarkStart w:id="65" w:name="_Toc200781321"/>
      <w:bookmarkStart w:id="66" w:name="_Toc155941592"/>
      <w:bookmarkStart w:id="67" w:name="_Toc155941705"/>
      <w:bookmarkStart w:id="68" w:name="_Toc200781323"/>
      <w:bookmarkStart w:id="69" w:name="_Toc155941708"/>
      <w:bookmarkStart w:id="70" w:name="_Toc200781324"/>
      <w:bookmarkStart w:id="71" w:name="_Toc289767906"/>
      <w:bookmarkStart w:id="72" w:name="_Toc289781368"/>
      <w:bookmarkStart w:id="73" w:name="_Toc327559242"/>
      <w:bookmarkEnd w:id="59"/>
      <w:bookmarkEnd w:id="60"/>
      <w:bookmarkEnd w:id="61"/>
      <w:bookmarkEnd w:id="62"/>
      <w:bookmarkEnd w:id="63"/>
      <w:bookmarkEnd w:id="64"/>
      <w:bookmarkEnd w:id="65"/>
      <w:bookmarkEnd w:id="66"/>
      <w:bookmarkEnd w:id="67"/>
      <w:bookmarkEnd w:id="68"/>
      <w:r w:rsidRPr="009B295C">
        <w:t>Product Overview</w:t>
      </w:r>
      <w:bookmarkEnd w:id="69"/>
      <w:bookmarkEnd w:id="70"/>
      <w:bookmarkEnd w:id="71"/>
      <w:bookmarkEnd w:id="72"/>
      <w:bookmarkEnd w:id="73"/>
      <w:r w:rsidRPr="009B295C">
        <w:t xml:space="preserve"> </w:t>
      </w:r>
    </w:p>
    <w:p w:rsidR="00E10D7F" w:rsidRDefault="00E10D7F" w:rsidP="00E10D7F">
      <w:pPr>
        <w:pStyle w:val="BodyText0"/>
      </w:pPr>
      <w:r w:rsidRPr="009B295C">
        <w:t>While USCO Group sells several diverse products, the products relevant to this study belong to its Chemicals business segment and are described below.</w:t>
      </w:r>
    </w:p>
    <w:p w:rsidR="00E10D7F" w:rsidRDefault="00E10D7F" w:rsidP="00E10D7F">
      <w:pPr>
        <w:pStyle w:val="BodyText0"/>
        <w:numPr>
          <w:ilvl w:val="0"/>
          <w:numId w:val="20"/>
        </w:numPr>
      </w:pPr>
      <w:r w:rsidRPr="009B295C">
        <w:t>Polyurethane – is a type of plastic that offers the elasticity of rubber combined with the toughness and durability of metal.</w:t>
      </w:r>
      <w:r>
        <w:t xml:space="preserve">  </w:t>
      </w:r>
      <w:r w:rsidRPr="009B295C">
        <w:t>It is considered a specialty chemical.</w:t>
      </w:r>
      <w:r>
        <w:t xml:space="preserve">  </w:t>
      </w:r>
      <w:r w:rsidRPr="009B295C">
        <w:t>USCO sells polyurethane bars – both standard and custom sizes.</w:t>
      </w:r>
    </w:p>
    <w:p w:rsidR="00E10D7F" w:rsidRDefault="00E10D7F" w:rsidP="00E10D7F">
      <w:pPr>
        <w:pStyle w:val="BodyText0"/>
        <w:numPr>
          <w:ilvl w:val="0"/>
          <w:numId w:val="20"/>
        </w:numPr>
      </w:pPr>
      <w:r w:rsidRPr="009B295C">
        <w:t>Polystyrene – is a type of plastic that is manufactured from petroleum.</w:t>
      </w:r>
      <w:r>
        <w:t xml:space="preserve">  </w:t>
      </w:r>
      <w:r w:rsidRPr="009B295C">
        <w:t>It is considered a specialty chemical. USCO sells two types of polystyrene:</w:t>
      </w:r>
    </w:p>
    <w:p w:rsidR="00E10D7F" w:rsidRDefault="00E10D7F" w:rsidP="00E10D7F">
      <w:pPr>
        <w:pStyle w:val="BodyText0"/>
        <w:numPr>
          <w:ilvl w:val="1"/>
          <w:numId w:val="20"/>
        </w:numPr>
      </w:pPr>
      <w:r w:rsidRPr="009B295C">
        <w:t>General purpose polystyrene (“GPPS”), which exhibits good stiffness and electrical properties but is brittle; and</w:t>
      </w:r>
      <w:r w:rsidRPr="00FC020E">
        <w:t xml:space="preserve">  </w:t>
      </w:r>
    </w:p>
    <w:p w:rsidR="00E10D7F" w:rsidRDefault="00E10D7F" w:rsidP="00E10D7F">
      <w:pPr>
        <w:pStyle w:val="BodyText0"/>
        <w:numPr>
          <w:ilvl w:val="1"/>
          <w:numId w:val="20"/>
        </w:numPr>
      </w:pPr>
      <w:r w:rsidRPr="009B295C">
        <w:t>Medium and high impact polystyrene (“HIPS”), which is characterized by its impact resistance and ease of fabrication.</w:t>
      </w:r>
      <w:r w:rsidRPr="00FC020E">
        <w:t xml:space="preserve">  </w:t>
      </w:r>
    </w:p>
    <w:p w:rsidR="00E10D7F" w:rsidRDefault="00E10D7F" w:rsidP="00E10D7F">
      <w:pPr>
        <w:pStyle w:val="BodyText0"/>
        <w:numPr>
          <w:ilvl w:val="0"/>
          <w:numId w:val="20"/>
        </w:numPr>
      </w:pPr>
      <w:r w:rsidRPr="009B295C">
        <w:t>Hydrochloric acid – is a commodity chemical used as a raw material in various chemical process.</w:t>
      </w:r>
      <w:r>
        <w:t xml:space="preserve">  </w:t>
      </w:r>
      <w:r w:rsidRPr="009B295C">
        <w:t>It is produced by an electrochemical process using salt, water and electricity.</w:t>
      </w:r>
    </w:p>
    <w:p w:rsidR="00E10D7F" w:rsidRPr="007F3E3D" w:rsidRDefault="00E10D7F" w:rsidP="00E10D7F">
      <w:pPr>
        <w:pStyle w:val="Caption"/>
        <w:keepNext/>
        <w:keepLines/>
        <w:spacing w:before="120" w:after="120"/>
        <w:jc w:val="center"/>
        <w:rPr>
          <w:szCs w:val="22"/>
        </w:rPr>
      </w:pPr>
      <w:bookmarkStart w:id="74" w:name="_Ref206933951"/>
      <w:r w:rsidRPr="009B295C">
        <w:rPr>
          <w:szCs w:val="22"/>
        </w:rPr>
        <w:t xml:space="preserve">Table </w:t>
      </w:r>
      <w:r w:rsidRPr="009B295C">
        <w:rPr>
          <w:szCs w:val="22"/>
        </w:rPr>
        <w:fldChar w:fldCharType="begin"/>
      </w:r>
      <w:r w:rsidRPr="009B295C">
        <w:rPr>
          <w:szCs w:val="22"/>
        </w:rPr>
        <w:instrText xml:space="preserve"> SEQ Table \* ARABIC </w:instrText>
      </w:r>
      <w:r w:rsidRPr="009B295C">
        <w:rPr>
          <w:szCs w:val="22"/>
        </w:rPr>
        <w:fldChar w:fldCharType="separate"/>
      </w:r>
      <w:r>
        <w:rPr>
          <w:noProof/>
          <w:szCs w:val="22"/>
        </w:rPr>
        <w:t>4</w:t>
      </w:r>
      <w:r w:rsidRPr="009B295C">
        <w:rPr>
          <w:szCs w:val="22"/>
        </w:rPr>
        <w:fldChar w:fldCharType="end"/>
      </w:r>
      <w:bookmarkEnd w:id="74"/>
      <w:r w:rsidRPr="009B295C">
        <w:rPr>
          <w:szCs w:val="22"/>
        </w:rPr>
        <w:t xml:space="preserve">: USCO’s Chemical Segment </w:t>
      </w:r>
      <w:r>
        <w:rPr>
          <w:szCs w:val="22"/>
        </w:rPr>
        <w:t>Product Mix</w:t>
      </w:r>
    </w:p>
    <w:tbl>
      <w:tblPr>
        <w:tblW w:w="6400" w:type="dxa"/>
        <w:jc w:val="center"/>
        <w:tblLook w:val="0000"/>
      </w:tblPr>
      <w:tblGrid>
        <w:gridCol w:w="2830"/>
        <w:gridCol w:w="2170"/>
        <w:gridCol w:w="1400"/>
      </w:tblGrid>
      <w:tr w:rsidR="00E10D7F" w:rsidRPr="007F3E3D" w:rsidTr="00E10D7F">
        <w:trPr>
          <w:trHeight w:val="20"/>
          <w:jc w:val="center"/>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rsidR="00E10D7F" w:rsidRDefault="00E10D7F" w:rsidP="00E10D7F">
            <w:pPr>
              <w:spacing w:before="40" w:after="40"/>
              <w:jc w:val="center"/>
              <w:rPr>
                <w:b/>
                <w:bCs/>
                <w:szCs w:val="22"/>
              </w:rPr>
            </w:pPr>
            <w:r w:rsidRPr="009B295C">
              <w:rPr>
                <w:b/>
                <w:bCs/>
                <w:szCs w:val="22"/>
              </w:rPr>
              <w:t>Product</w:t>
            </w:r>
          </w:p>
        </w:tc>
        <w:tc>
          <w:tcPr>
            <w:tcW w:w="2170" w:type="dxa"/>
            <w:tcBorders>
              <w:top w:val="single" w:sz="4" w:space="0" w:color="auto"/>
              <w:left w:val="nil"/>
              <w:bottom w:val="single" w:sz="4" w:space="0" w:color="auto"/>
              <w:right w:val="single" w:sz="4" w:space="0" w:color="auto"/>
            </w:tcBorders>
            <w:shd w:val="clear" w:color="auto" w:fill="auto"/>
            <w:vAlign w:val="center"/>
          </w:tcPr>
          <w:p w:rsidR="00E10D7F" w:rsidRDefault="00E10D7F" w:rsidP="00E10D7F">
            <w:pPr>
              <w:spacing w:before="40" w:after="40"/>
              <w:jc w:val="center"/>
              <w:rPr>
                <w:b/>
                <w:bCs/>
                <w:szCs w:val="22"/>
              </w:rPr>
            </w:pPr>
            <w:r w:rsidRPr="009B295C">
              <w:rPr>
                <w:b/>
                <w:bCs/>
                <w:szCs w:val="22"/>
              </w:rPr>
              <w:t>FY10 Net Sales</w:t>
            </w:r>
            <w:r w:rsidRPr="009B295C">
              <w:rPr>
                <w:b/>
                <w:bCs/>
                <w:szCs w:val="22"/>
              </w:rPr>
              <w:br/>
              <w:t>(USD millions)</w:t>
            </w:r>
          </w:p>
        </w:tc>
        <w:tc>
          <w:tcPr>
            <w:tcW w:w="1400" w:type="dxa"/>
            <w:tcBorders>
              <w:top w:val="single" w:sz="4" w:space="0" w:color="auto"/>
              <w:left w:val="nil"/>
              <w:bottom w:val="single" w:sz="4" w:space="0" w:color="auto"/>
              <w:right w:val="single" w:sz="4" w:space="0" w:color="auto"/>
            </w:tcBorders>
            <w:shd w:val="clear" w:color="auto" w:fill="auto"/>
            <w:vAlign w:val="center"/>
          </w:tcPr>
          <w:p w:rsidR="00E10D7F" w:rsidRDefault="00E10D7F" w:rsidP="00E10D7F">
            <w:pPr>
              <w:spacing w:before="40" w:after="40"/>
              <w:jc w:val="center"/>
              <w:rPr>
                <w:b/>
                <w:bCs/>
                <w:szCs w:val="22"/>
              </w:rPr>
            </w:pPr>
            <w:r w:rsidRPr="009B295C">
              <w:rPr>
                <w:b/>
                <w:bCs/>
                <w:szCs w:val="22"/>
              </w:rPr>
              <w:t>% of Total Sales</w:t>
            </w:r>
          </w:p>
        </w:tc>
      </w:tr>
      <w:tr w:rsidR="00E10D7F" w:rsidRPr="007F3E3D" w:rsidTr="00E10D7F">
        <w:trPr>
          <w:trHeight w:val="20"/>
          <w:jc w:val="center"/>
        </w:trPr>
        <w:tc>
          <w:tcPr>
            <w:tcW w:w="2830" w:type="dxa"/>
            <w:tcBorders>
              <w:top w:val="nil"/>
              <w:left w:val="single" w:sz="4" w:space="0" w:color="auto"/>
              <w:bottom w:val="nil"/>
              <w:right w:val="single" w:sz="4" w:space="0" w:color="auto"/>
            </w:tcBorders>
            <w:shd w:val="clear" w:color="auto" w:fill="auto"/>
          </w:tcPr>
          <w:p w:rsidR="00E10D7F" w:rsidRDefault="00E10D7F" w:rsidP="00E10D7F">
            <w:pPr>
              <w:spacing w:before="40" w:after="40"/>
              <w:rPr>
                <w:szCs w:val="22"/>
              </w:rPr>
            </w:pPr>
            <w:r w:rsidRPr="009B295C">
              <w:rPr>
                <w:szCs w:val="22"/>
              </w:rPr>
              <w:t>Polyurethane</w:t>
            </w:r>
          </w:p>
        </w:tc>
        <w:tc>
          <w:tcPr>
            <w:tcW w:w="2170" w:type="dxa"/>
            <w:tcBorders>
              <w:top w:val="nil"/>
              <w:left w:val="nil"/>
              <w:bottom w:val="nil"/>
              <w:right w:val="single" w:sz="4" w:space="0" w:color="auto"/>
            </w:tcBorders>
            <w:shd w:val="clear" w:color="auto" w:fill="auto"/>
          </w:tcPr>
          <w:p w:rsidR="00E10D7F" w:rsidRDefault="00E10D7F" w:rsidP="00E10D7F">
            <w:pPr>
              <w:spacing w:before="40" w:after="40"/>
              <w:jc w:val="center"/>
              <w:rPr>
                <w:szCs w:val="22"/>
              </w:rPr>
            </w:pPr>
            <w:r w:rsidRPr="009B295C">
              <w:rPr>
                <w:szCs w:val="22"/>
              </w:rPr>
              <w:t>$300</w:t>
            </w:r>
          </w:p>
        </w:tc>
        <w:tc>
          <w:tcPr>
            <w:tcW w:w="1400" w:type="dxa"/>
            <w:tcBorders>
              <w:top w:val="nil"/>
              <w:left w:val="nil"/>
              <w:bottom w:val="nil"/>
              <w:right w:val="single" w:sz="4" w:space="0" w:color="auto"/>
            </w:tcBorders>
            <w:shd w:val="clear" w:color="auto" w:fill="auto"/>
            <w:noWrap/>
          </w:tcPr>
          <w:p w:rsidR="00E10D7F" w:rsidRDefault="00E10D7F" w:rsidP="00E10D7F">
            <w:pPr>
              <w:spacing w:before="40" w:after="40"/>
              <w:jc w:val="center"/>
              <w:rPr>
                <w:szCs w:val="22"/>
              </w:rPr>
            </w:pPr>
            <w:r w:rsidRPr="009B295C">
              <w:rPr>
                <w:szCs w:val="22"/>
              </w:rPr>
              <w:t>60%</w:t>
            </w:r>
          </w:p>
        </w:tc>
      </w:tr>
      <w:tr w:rsidR="00E10D7F" w:rsidRPr="007F3E3D" w:rsidTr="00E10D7F">
        <w:trPr>
          <w:trHeight w:val="20"/>
          <w:jc w:val="center"/>
        </w:trPr>
        <w:tc>
          <w:tcPr>
            <w:tcW w:w="2830" w:type="dxa"/>
            <w:tcBorders>
              <w:top w:val="nil"/>
              <w:left w:val="single" w:sz="4" w:space="0" w:color="auto"/>
              <w:bottom w:val="nil"/>
              <w:right w:val="single" w:sz="4" w:space="0" w:color="auto"/>
            </w:tcBorders>
            <w:shd w:val="clear" w:color="auto" w:fill="auto"/>
          </w:tcPr>
          <w:p w:rsidR="00E10D7F" w:rsidRDefault="00E10D7F" w:rsidP="00E10D7F">
            <w:pPr>
              <w:spacing w:before="40" w:after="40"/>
              <w:rPr>
                <w:szCs w:val="22"/>
              </w:rPr>
            </w:pPr>
            <w:r w:rsidRPr="009B295C">
              <w:rPr>
                <w:szCs w:val="22"/>
              </w:rPr>
              <w:t>Polystyrene</w:t>
            </w:r>
          </w:p>
        </w:tc>
        <w:tc>
          <w:tcPr>
            <w:tcW w:w="2170" w:type="dxa"/>
            <w:tcBorders>
              <w:top w:val="nil"/>
              <w:left w:val="nil"/>
              <w:bottom w:val="nil"/>
              <w:right w:val="single" w:sz="4" w:space="0" w:color="auto"/>
            </w:tcBorders>
            <w:shd w:val="clear" w:color="auto" w:fill="auto"/>
          </w:tcPr>
          <w:p w:rsidR="00E10D7F" w:rsidRDefault="00E10D7F" w:rsidP="00E10D7F">
            <w:pPr>
              <w:spacing w:before="40" w:after="40"/>
              <w:jc w:val="center"/>
              <w:rPr>
                <w:szCs w:val="22"/>
              </w:rPr>
            </w:pPr>
            <w:r w:rsidRPr="009B295C">
              <w:rPr>
                <w:szCs w:val="22"/>
              </w:rPr>
              <w:t>$150</w:t>
            </w:r>
          </w:p>
        </w:tc>
        <w:tc>
          <w:tcPr>
            <w:tcW w:w="1400" w:type="dxa"/>
            <w:tcBorders>
              <w:top w:val="nil"/>
              <w:left w:val="nil"/>
              <w:bottom w:val="nil"/>
              <w:right w:val="single" w:sz="4" w:space="0" w:color="auto"/>
            </w:tcBorders>
            <w:shd w:val="clear" w:color="auto" w:fill="auto"/>
            <w:noWrap/>
          </w:tcPr>
          <w:p w:rsidR="00E10D7F" w:rsidRDefault="00E10D7F" w:rsidP="00E10D7F">
            <w:pPr>
              <w:spacing w:before="40" w:after="40"/>
              <w:jc w:val="center"/>
              <w:rPr>
                <w:szCs w:val="22"/>
              </w:rPr>
            </w:pPr>
            <w:r w:rsidRPr="009B295C">
              <w:rPr>
                <w:szCs w:val="22"/>
              </w:rPr>
              <w:t>30%</w:t>
            </w:r>
          </w:p>
        </w:tc>
      </w:tr>
      <w:tr w:rsidR="00E10D7F" w:rsidRPr="007F3E3D" w:rsidTr="00E10D7F">
        <w:trPr>
          <w:trHeight w:val="20"/>
          <w:jc w:val="center"/>
        </w:trPr>
        <w:tc>
          <w:tcPr>
            <w:tcW w:w="2830" w:type="dxa"/>
            <w:tcBorders>
              <w:top w:val="nil"/>
              <w:left w:val="single" w:sz="4" w:space="0" w:color="auto"/>
              <w:bottom w:val="nil"/>
              <w:right w:val="single" w:sz="4" w:space="0" w:color="auto"/>
            </w:tcBorders>
            <w:shd w:val="clear" w:color="auto" w:fill="auto"/>
          </w:tcPr>
          <w:p w:rsidR="00E10D7F" w:rsidRDefault="00E10D7F" w:rsidP="00E10D7F">
            <w:pPr>
              <w:spacing w:before="40" w:after="40"/>
              <w:rPr>
                <w:szCs w:val="22"/>
              </w:rPr>
            </w:pPr>
            <w:r w:rsidRPr="009B295C">
              <w:rPr>
                <w:szCs w:val="22"/>
              </w:rPr>
              <w:t>Hydrochloric Acid</w:t>
            </w:r>
          </w:p>
        </w:tc>
        <w:tc>
          <w:tcPr>
            <w:tcW w:w="2170" w:type="dxa"/>
            <w:tcBorders>
              <w:top w:val="nil"/>
              <w:left w:val="nil"/>
              <w:bottom w:val="nil"/>
              <w:right w:val="single" w:sz="4" w:space="0" w:color="auto"/>
            </w:tcBorders>
            <w:shd w:val="clear" w:color="auto" w:fill="auto"/>
          </w:tcPr>
          <w:p w:rsidR="00E10D7F" w:rsidRDefault="00E10D7F" w:rsidP="00E10D7F">
            <w:pPr>
              <w:spacing w:before="40" w:after="40"/>
              <w:jc w:val="center"/>
              <w:rPr>
                <w:szCs w:val="22"/>
              </w:rPr>
            </w:pPr>
            <w:r w:rsidRPr="009B295C">
              <w:rPr>
                <w:szCs w:val="22"/>
              </w:rPr>
              <w:t>$45</w:t>
            </w:r>
          </w:p>
        </w:tc>
        <w:tc>
          <w:tcPr>
            <w:tcW w:w="1400" w:type="dxa"/>
            <w:tcBorders>
              <w:top w:val="nil"/>
              <w:left w:val="nil"/>
              <w:bottom w:val="nil"/>
              <w:right w:val="single" w:sz="4" w:space="0" w:color="auto"/>
            </w:tcBorders>
            <w:shd w:val="clear" w:color="auto" w:fill="auto"/>
            <w:noWrap/>
          </w:tcPr>
          <w:p w:rsidR="00E10D7F" w:rsidRDefault="00E10D7F" w:rsidP="00E10D7F">
            <w:pPr>
              <w:spacing w:before="40" w:after="40"/>
              <w:jc w:val="center"/>
              <w:rPr>
                <w:szCs w:val="22"/>
              </w:rPr>
            </w:pPr>
            <w:r w:rsidRPr="009B295C">
              <w:rPr>
                <w:szCs w:val="22"/>
              </w:rPr>
              <w:t>9%</w:t>
            </w:r>
          </w:p>
        </w:tc>
      </w:tr>
      <w:tr w:rsidR="00E10D7F" w:rsidRPr="007F3E3D" w:rsidTr="00E10D7F">
        <w:trPr>
          <w:trHeight w:val="20"/>
          <w:jc w:val="center"/>
        </w:trPr>
        <w:tc>
          <w:tcPr>
            <w:tcW w:w="2830" w:type="dxa"/>
            <w:tcBorders>
              <w:top w:val="nil"/>
              <w:left w:val="single" w:sz="4" w:space="0" w:color="auto"/>
              <w:bottom w:val="single" w:sz="4" w:space="0" w:color="auto"/>
              <w:right w:val="single" w:sz="4" w:space="0" w:color="auto"/>
            </w:tcBorders>
            <w:shd w:val="clear" w:color="auto" w:fill="auto"/>
          </w:tcPr>
          <w:p w:rsidR="00E10D7F" w:rsidRDefault="00E10D7F" w:rsidP="00E10D7F">
            <w:pPr>
              <w:spacing w:before="40" w:after="40"/>
              <w:rPr>
                <w:szCs w:val="22"/>
              </w:rPr>
            </w:pPr>
            <w:r w:rsidRPr="009B295C">
              <w:rPr>
                <w:szCs w:val="22"/>
              </w:rPr>
              <w:t xml:space="preserve">Miscellaneous </w:t>
            </w:r>
          </w:p>
        </w:tc>
        <w:tc>
          <w:tcPr>
            <w:tcW w:w="2170" w:type="dxa"/>
            <w:tcBorders>
              <w:top w:val="nil"/>
              <w:left w:val="nil"/>
              <w:bottom w:val="single" w:sz="4" w:space="0" w:color="auto"/>
              <w:right w:val="single" w:sz="4" w:space="0" w:color="auto"/>
            </w:tcBorders>
            <w:shd w:val="clear" w:color="auto" w:fill="auto"/>
          </w:tcPr>
          <w:p w:rsidR="00E10D7F" w:rsidRDefault="00E10D7F" w:rsidP="00E10D7F">
            <w:pPr>
              <w:spacing w:before="40" w:after="40"/>
              <w:jc w:val="center"/>
              <w:rPr>
                <w:szCs w:val="22"/>
              </w:rPr>
            </w:pPr>
            <w:r w:rsidRPr="009B295C">
              <w:rPr>
                <w:szCs w:val="22"/>
              </w:rPr>
              <w:t>$5</w:t>
            </w:r>
          </w:p>
        </w:tc>
        <w:tc>
          <w:tcPr>
            <w:tcW w:w="1400" w:type="dxa"/>
            <w:tcBorders>
              <w:top w:val="nil"/>
              <w:left w:val="nil"/>
              <w:bottom w:val="single" w:sz="4" w:space="0" w:color="auto"/>
              <w:right w:val="single" w:sz="4" w:space="0" w:color="auto"/>
            </w:tcBorders>
            <w:shd w:val="clear" w:color="auto" w:fill="auto"/>
            <w:noWrap/>
          </w:tcPr>
          <w:p w:rsidR="00E10D7F" w:rsidRDefault="00E10D7F" w:rsidP="00E10D7F">
            <w:pPr>
              <w:spacing w:before="40" w:after="40"/>
              <w:jc w:val="center"/>
              <w:rPr>
                <w:szCs w:val="22"/>
              </w:rPr>
            </w:pPr>
            <w:r w:rsidRPr="009B295C">
              <w:rPr>
                <w:szCs w:val="22"/>
              </w:rPr>
              <w:t>1%</w:t>
            </w:r>
          </w:p>
        </w:tc>
      </w:tr>
      <w:tr w:rsidR="00E10D7F" w:rsidRPr="007F3E3D" w:rsidTr="00E10D7F">
        <w:trPr>
          <w:trHeight w:val="20"/>
          <w:jc w:val="center"/>
        </w:trPr>
        <w:tc>
          <w:tcPr>
            <w:tcW w:w="2830" w:type="dxa"/>
            <w:tcBorders>
              <w:top w:val="nil"/>
              <w:left w:val="single" w:sz="4" w:space="0" w:color="auto"/>
              <w:bottom w:val="single" w:sz="4" w:space="0" w:color="auto"/>
              <w:right w:val="single" w:sz="4" w:space="0" w:color="auto"/>
            </w:tcBorders>
            <w:shd w:val="clear" w:color="auto" w:fill="auto"/>
          </w:tcPr>
          <w:p w:rsidR="00E10D7F" w:rsidRDefault="00E10D7F" w:rsidP="00E10D7F">
            <w:pPr>
              <w:spacing w:before="40" w:after="40"/>
              <w:rPr>
                <w:b/>
                <w:bCs/>
                <w:szCs w:val="22"/>
              </w:rPr>
            </w:pPr>
            <w:r w:rsidRPr="009B295C">
              <w:rPr>
                <w:b/>
                <w:bCs/>
                <w:szCs w:val="22"/>
              </w:rPr>
              <w:t>Total</w:t>
            </w:r>
          </w:p>
        </w:tc>
        <w:tc>
          <w:tcPr>
            <w:tcW w:w="2170" w:type="dxa"/>
            <w:tcBorders>
              <w:top w:val="nil"/>
              <w:left w:val="nil"/>
              <w:bottom w:val="single" w:sz="4" w:space="0" w:color="auto"/>
              <w:right w:val="single" w:sz="4" w:space="0" w:color="auto"/>
            </w:tcBorders>
            <w:shd w:val="clear" w:color="auto" w:fill="auto"/>
          </w:tcPr>
          <w:p w:rsidR="00E10D7F" w:rsidRDefault="00E10D7F" w:rsidP="00E10D7F">
            <w:pPr>
              <w:spacing w:before="40" w:after="40"/>
              <w:jc w:val="center"/>
              <w:rPr>
                <w:szCs w:val="22"/>
              </w:rPr>
            </w:pPr>
            <w:r w:rsidRPr="009B295C">
              <w:rPr>
                <w:szCs w:val="22"/>
              </w:rPr>
              <w:t>$500</w:t>
            </w:r>
          </w:p>
        </w:tc>
        <w:tc>
          <w:tcPr>
            <w:tcW w:w="1400" w:type="dxa"/>
            <w:tcBorders>
              <w:top w:val="nil"/>
              <w:left w:val="nil"/>
              <w:bottom w:val="single" w:sz="4" w:space="0" w:color="auto"/>
              <w:right w:val="single" w:sz="4" w:space="0" w:color="auto"/>
            </w:tcBorders>
            <w:shd w:val="clear" w:color="auto" w:fill="auto"/>
            <w:noWrap/>
          </w:tcPr>
          <w:p w:rsidR="00E10D7F" w:rsidRDefault="00E10D7F" w:rsidP="00E10D7F">
            <w:pPr>
              <w:spacing w:before="40" w:after="40"/>
              <w:jc w:val="center"/>
              <w:rPr>
                <w:szCs w:val="22"/>
              </w:rPr>
            </w:pPr>
            <w:r w:rsidRPr="009B295C">
              <w:rPr>
                <w:szCs w:val="22"/>
              </w:rPr>
              <w:t>100%</w:t>
            </w:r>
          </w:p>
        </w:tc>
      </w:tr>
    </w:tbl>
    <w:p w:rsidR="00E10D7F" w:rsidRDefault="00E10D7F" w:rsidP="00E10D7F">
      <w:pPr>
        <w:pStyle w:val="Heading20"/>
        <w:numPr>
          <w:ilvl w:val="0"/>
          <w:numId w:val="0"/>
        </w:numPr>
      </w:pPr>
    </w:p>
    <w:p w:rsidR="00E10D7F" w:rsidRDefault="00E10D7F" w:rsidP="00E10D7F">
      <w:pPr>
        <w:pStyle w:val="Heading20"/>
      </w:pPr>
      <w:bookmarkStart w:id="75" w:name="_Toc327559243"/>
      <w:r>
        <w:t>Financial Performance of USCO</w:t>
      </w:r>
      <w:bookmarkEnd w:id="75"/>
    </w:p>
    <w:p w:rsidR="00E10D7F" w:rsidRDefault="00E10D7F" w:rsidP="00E10D7F">
      <w:pPr>
        <w:pStyle w:val="BodyText0"/>
      </w:pPr>
      <w:r>
        <w:t xml:space="preserve">Selected items from USCO’s income statement are presented in </w:t>
      </w:r>
      <w:r>
        <w:fldChar w:fldCharType="begin"/>
      </w:r>
      <w:r>
        <w:instrText xml:space="preserve"> REF _Ref293327662 \h </w:instrText>
      </w:r>
      <w:r>
        <w:fldChar w:fldCharType="separate"/>
      </w:r>
      <w:r>
        <w:t xml:space="preserve">Table </w:t>
      </w:r>
      <w:r>
        <w:rPr>
          <w:noProof/>
        </w:rPr>
        <w:t>5</w:t>
      </w:r>
      <w:r>
        <w:fldChar w:fldCharType="end"/>
      </w:r>
      <w:r>
        <w:t xml:space="preserve">.  </w:t>
      </w:r>
    </w:p>
    <w:p w:rsidR="00E10D7F" w:rsidRDefault="00E10D7F" w:rsidP="00E10D7F">
      <w:pPr>
        <w:pStyle w:val="Caption"/>
        <w:keepNext/>
        <w:spacing w:before="120" w:after="120"/>
        <w:jc w:val="center"/>
      </w:pPr>
      <w:bookmarkStart w:id="76" w:name="_Ref293327662"/>
      <w:r>
        <w:lastRenderedPageBreak/>
        <w:t xml:space="preserve">Table </w:t>
      </w:r>
      <w:fldSimple w:instr=" SEQ Table \* ARABIC ">
        <w:r>
          <w:rPr>
            <w:noProof/>
          </w:rPr>
          <w:t>5</w:t>
        </w:r>
      </w:fldSimple>
      <w:bookmarkEnd w:id="76"/>
      <w:r>
        <w:t>: USCO’s Income Statement – Selected Items (FY10)</w:t>
      </w:r>
    </w:p>
    <w:tbl>
      <w:tblPr>
        <w:tblW w:w="5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838"/>
        <w:gridCol w:w="1859"/>
      </w:tblGrid>
      <w:tr w:rsidR="00E10D7F" w:rsidRPr="007F3E3D" w:rsidTr="00E10D7F">
        <w:trPr>
          <w:trHeight w:val="317"/>
          <w:jc w:val="center"/>
        </w:trPr>
        <w:tc>
          <w:tcPr>
            <w:tcW w:w="3838" w:type="dxa"/>
            <w:shd w:val="clear" w:color="auto" w:fill="auto"/>
            <w:noWrap/>
            <w:vAlign w:val="center"/>
          </w:tcPr>
          <w:p w:rsidR="00E10D7F" w:rsidRDefault="00E10D7F" w:rsidP="00E10D7F">
            <w:pPr>
              <w:keepNext/>
              <w:spacing w:before="40" w:after="40"/>
              <w:jc w:val="center"/>
              <w:rPr>
                <w:b/>
                <w:bCs/>
              </w:rPr>
            </w:pPr>
            <w:r w:rsidRPr="009B295C">
              <w:rPr>
                <w:b/>
                <w:bCs/>
              </w:rPr>
              <w:t>($ ‘000)</w:t>
            </w:r>
          </w:p>
        </w:tc>
        <w:tc>
          <w:tcPr>
            <w:tcW w:w="1859" w:type="dxa"/>
            <w:shd w:val="clear" w:color="auto" w:fill="auto"/>
            <w:vAlign w:val="center"/>
          </w:tcPr>
          <w:p w:rsidR="00E10D7F" w:rsidRDefault="00E10D7F" w:rsidP="00E10D7F">
            <w:pPr>
              <w:keepNext/>
              <w:spacing w:before="40" w:after="40"/>
              <w:ind w:right="86"/>
              <w:jc w:val="center"/>
              <w:rPr>
                <w:b/>
                <w:bCs/>
              </w:rPr>
            </w:pPr>
            <w:r w:rsidRPr="009B295C">
              <w:rPr>
                <w:b/>
                <w:bCs/>
              </w:rPr>
              <w:t>2010</w:t>
            </w:r>
          </w:p>
        </w:tc>
      </w:tr>
      <w:tr w:rsidR="00E10D7F" w:rsidRPr="007F3E3D" w:rsidTr="00E10D7F">
        <w:trPr>
          <w:trHeight w:val="317"/>
          <w:jc w:val="center"/>
        </w:trPr>
        <w:tc>
          <w:tcPr>
            <w:tcW w:w="3838" w:type="dxa"/>
            <w:noWrap/>
          </w:tcPr>
          <w:p w:rsidR="00E10D7F" w:rsidRDefault="00E10D7F" w:rsidP="00E10D7F">
            <w:pPr>
              <w:keepNext/>
              <w:spacing w:before="40" w:after="40"/>
              <w:rPr>
                <w:szCs w:val="22"/>
              </w:rPr>
            </w:pPr>
            <w:r>
              <w:rPr>
                <w:color w:val="000000"/>
                <w:szCs w:val="22"/>
                <w:lang w:val="en-GB"/>
              </w:rPr>
              <w:t>Sales</w:t>
            </w:r>
          </w:p>
        </w:tc>
        <w:tc>
          <w:tcPr>
            <w:tcW w:w="1859" w:type="dxa"/>
          </w:tcPr>
          <w:p w:rsidR="00E10D7F" w:rsidRDefault="00E10D7F" w:rsidP="00E10D7F">
            <w:pPr>
              <w:keepNext/>
              <w:spacing w:before="40" w:after="40"/>
              <w:jc w:val="right"/>
              <w:rPr>
                <w:color w:val="000000"/>
                <w:szCs w:val="22"/>
              </w:rPr>
            </w:pPr>
            <w:r>
              <w:rPr>
                <w:color w:val="000000"/>
                <w:szCs w:val="22"/>
              </w:rPr>
              <w:t>1,150,000</w:t>
            </w:r>
          </w:p>
        </w:tc>
      </w:tr>
      <w:tr w:rsidR="00E10D7F" w:rsidRPr="007F3E3D" w:rsidTr="00E10D7F">
        <w:trPr>
          <w:trHeight w:val="317"/>
          <w:jc w:val="center"/>
        </w:trPr>
        <w:tc>
          <w:tcPr>
            <w:tcW w:w="3838" w:type="dxa"/>
            <w:noWrap/>
          </w:tcPr>
          <w:p w:rsidR="00E10D7F" w:rsidRDefault="00E10D7F" w:rsidP="00E10D7F">
            <w:pPr>
              <w:keepNext/>
              <w:spacing w:before="40" w:after="40"/>
              <w:ind w:left="562"/>
              <w:rPr>
                <w:szCs w:val="22"/>
                <w:lang w:val="en-GB"/>
              </w:rPr>
            </w:pPr>
            <w:r>
              <w:rPr>
                <w:color w:val="000000"/>
                <w:szCs w:val="22"/>
                <w:lang w:val="en-GB"/>
              </w:rPr>
              <w:t>Chemicals</w:t>
            </w:r>
          </w:p>
        </w:tc>
        <w:tc>
          <w:tcPr>
            <w:tcW w:w="1859" w:type="dxa"/>
          </w:tcPr>
          <w:p w:rsidR="00E10D7F" w:rsidRPr="009B295C" w:rsidRDefault="00E10D7F" w:rsidP="00E10D7F">
            <w:pPr>
              <w:keepNext/>
              <w:spacing w:before="40" w:after="40"/>
              <w:jc w:val="right"/>
              <w:rPr>
                <w:color w:val="000000"/>
                <w:szCs w:val="22"/>
              </w:rPr>
            </w:pPr>
            <w:r>
              <w:rPr>
                <w:color w:val="000000"/>
                <w:szCs w:val="22"/>
              </w:rPr>
              <w:t>500,000</w:t>
            </w:r>
          </w:p>
        </w:tc>
      </w:tr>
      <w:tr w:rsidR="00E10D7F" w:rsidRPr="007F3E3D" w:rsidTr="00E10D7F">
        <w:trPr>
          <w:trHeight w:val="317"/>
          <w:jc w:val="center"/>
        </w:trPr>
        <w:tc>
          <w:tcPr>
            <w:tcW w:w="3838" w:type="dxa"/>
            <w:noWrap/>
          </w:tcPr>
          <w:p w:rsidR="00E10D7F" w:rsidRDefault="00E10D7F" w:rsidP="00E10D7F">
            <w:pPr>
              <w:keepNext/>
              <w:spacing w:before="40" w:after="40"/>
              <w:ind w:left="562"/>
              <w:rPr>
                <w:szCs w:val="22"/>
                <w:lang w:val="en-GB"/>
              </w:rPr>
            </w:pPr>
            <w:r>
              <w:rPr>
                <w:color w:val="000000"/>
                <w:szCs w:val="22"/>
                <w:lang w:val="en-GB"/>
              </w:rPr>
              <w:t>Chemical Processing Equipment</w:t>
            </w:r>
          </w:p>
        </w:tc>
        <w:tc>
          <w:tcPr>
            <w:tcW w:w="1859" w:type="dxa"/>
          </w:tcPr>
          <w:p w:rsidR="00E10D7F" w:rsidRPr="009B295C" w:rsidRDefault="00E10D7F" w:rsidP="00E10D7F">
            <w:pPr>
              <w:keepNext/>
              <w:spacing w:before="40" w:after="40"/>
              <w:jc w:val="right"/>
              <w:rPr>
                <w:color w:val="000000"/>
                <w:szCs w:val="22"/>
              </w:rPr>
            </w:pPr>
            <w:r>
              <w:rPr>
                <w:color w:val="000000"/>
                <w:szCs w:val="22"/>
              </w:rPr>
              <w:t>200,000</w:t>
            </w:r>
          </w:p>
        </w:tc>
      </w:tr>
      <w:tr w:rsidR="00E10D7F" w:rsidRPr="007F3E3D" w:rsidTr="00E10D7F">
        <w:trPr>
          <w:trHeight w:val="317"/>
          <w:jc w:val="center"/>
        </w:trPr>
        <w:tc>
          <w:tcPr>
            <w:tcW w:w="3838" w:type="dxa"/>
            <w:noWrap/>
          </w:tcPr>
          <w:p w:rsidR="00E10D7F" w:rsidRDefault="00E10D7F" w:rsidP="00E10D7F">
            <w:pPr>
              <w:keepNext/>
              <w:spacing w:before="40" w:after="40"/>
              <w:ind w:left="562"/>
              <w:rPr>
                <w:szCs w:val="22"/>
                <w:lang w:val="en-GB"/>
              </w:rPr>
            </w:pPr>
            <w:r>
              <w:rPr>
                <w:color w:val="000000"/>
                <w:szCs w:val="22"/>
                <w:lang w:val="en-GB"/>
              </w:rPr>
              <w:t>Laboratory Equipment</w:t>
            </w:r>
          </w:p>
        </w:tc>
        <w:tc>
          <w:tcPr>
            <w:tcW w:w="1859" w:type="dxa"/>
          </w:tcPr>
          <w:p w:rsidR="00E10D7F" w:rsidRPr="009B295C" w:rsidRDefault="00E10D7F" w:rsidP="00E10D7F">
            <w:pPr>
              <w:keepNext/>
              <w:spacing w:before="40" w:after="40"/>
              <w:jc w:val="right"/>
              <w:rPr>
                <w:color w:val="000000"/>
                <w:szCs w:val="22"/>
              </w:rPr>
            </w:pPr>
            <w:r>
              <w:rPr>
                <w:color w:val="000000"/>
                <w:szCs w:val="22"/>
              </w:rPr>
              <w:t>300,000</w:t>
            </w:r>
          </w:p>
        </w:tc>
      </w:tr>
      <w:tr w:rsidR="00E10D7F" w:rsidRPr="007F3E3D" w:rsidTr="00E10D7F">
        <w:trPr>
          <w:trHeight w:val="317"/>
          <w:jc w:val="center"/>
        </w:trPr>
        <w:tc>
          <w:tcPr>
            <w:tcW w:w="3838" w:type="dxa"/>
            <w:noWrap/>
          </w:tcPr>
          <w:p w:rsidR="00E10D7F" w:rsidRDefault="00E10D7F" w:rsidP="00E10D7F">
            <w:pPr>
              <w:keepNext/>
              <w:spacing w:before="40" w:after="40"/>
              <w:ind w:left="562"/>
              <w:rPr>
                <w:szCs w:val="22"/>
                <w:lang w:val="en-GB"/>
              </w:rPr>
            </w:pPr>
            <w:r>
              <w:rPr>
                <w:color w:val="000000"/>
                <w:szCs w:val="22"/>
                <w:lang w:val="en-GB"/>
              </w:rPr>
              <w:t>Pharmaceuticals</w:t>
            </w:r>
          </w:p>
        </w:tc>
        <w:tc>
          <w:tcPr>
            <w:tcW w:w="1859" w:type="dxa"/>
          </w:tcPr>
          <w:p w:rsidR="00E10D7F" w:rsidRPr="009B295C" w:rsidRDefault="00E10D7F" w:rsidP="00E10D7F">
            <w:pPr>
              <w:keepNext/>
              <w:spacing w:before="40" w:after="40"/>
              <w:jc w:val="right"/>
              <w:rPr>
                <w:color w:val="000000"/>
                <w:szCs w:val="22"/>
              </w:rPr>
            </w:pPr>
            <w:r>
              <w:rPr>
                <w:color w:val="000000"/>
                <w:szCs w:val="22"/>
              </w:rPr>
              <w:t>100,000</w:t>
            </w:r>
          </w:p>
        </w:tc>
      </w:tr>
      <w:tr w:rsidR="00E10D7F" w:rsidRPr="007F3E3D" w:rsidTr="00E10D7F">
        <w:trPr>
          <w:trHeight w:val="317"/>
          <w:jc w:val="center"/>
        </w:trPr>
        <w:tc>
          <w:tcPr>
            <w:tcW w:w="3838" w:type="dxa"/>
            <w:noWrap/>
          </w:tcPr>
          <w:p w:rsidR="00E10D7F" w:rsidRDefault="00E10D7F" w:rsidP="00E10D7F">
            <w:pPr>
              <w:keepNext/>
              <w:spacing w:before="40" w:after="40"/>
              <w:ind w:left="562"/>
              <w:rPr>
                <w:szCs w:val="22"/>
                <w:lang w:val="en-GB"/>
              </w:rPr>
            </w:pPr>
            <w:r>
              <w:rPr>
                <w:color w:val="000000"/>
                <w:szCs w:val="22"/>
                <w:lang w:val="en-GB"/>
              </w:rPr>
              <w:t>Food Flavourings</w:t>
            </w:r>
          </w:p>
        </w:tc>
        <w:tc>
          <w:tcPr>
            <w:tcW w:w="1859" w:type="dxa"/>
          </w:tcPr>
          <w:p w:rsidR="00E10D7F" w:rsidRPr="009B295C" w:rsidRDefault="00E10D7F" w:rsidP="00E10D7F">
            <w:pPr>
              <w:keepNext/>
              <w:spacing w:before="40" w:after="40"/>
              <w:jc w:val="right"/>
              <w:rPr>
                <w:color w:val="000000"/>
                <w:szCs w:val="22"/>
              </w:rPr>
            </w:pPr>
            <w:r>
              <w:rPr>
                <w:color w:val="000000"/>
                <w:szCs w:val="22"/>
              </w:rPr>
              <w:t>50,000</w:t>
            </w:r>
          </w:p>
        </w:tc>
      </w:tr>
      <w:tr w:rsidR="00E10D7F" w:rsidRPr="007F3E3D" w:rsidTr="00E10D7F">
        <w:trPr>
          <w:trHeight w:val="317"/>
          <w:jc w:val="center"/>
        </w:trPr>
        <w:tc>
          <w:tcPr>
            <w:tcW w:w="3838" w:type="dxa"/>
            <w:noWrap/>
          </w:tcPr>
          <w:p w:rsidR="00E10D7F" w:rsidRDefault="00E10D7F" w:rsidP="00E10D7F">
            <w:pPr>
              <w:keepNext/>
              <w:spacing w:before="40" w:after="40"/>
              <w:rPr>
                <w:szCs w:val="22"/>
              </w:rPr>
            </w:pPr>
            <w:r>
              <w:rPr>
                <w:color w:val="000000"/>
                <w:szCs w:val="22"/>
                <w:lang w:val="en-GB"/>
              </w:rPr>
              <w:t>Cost of Sales</w:t>
            </w:r>
          </w:p>
        </w:tc>
        <w:tc>
          <w:tcPr>
            <w:tcW w:w="1859" w:type="dxa"/>
          </w:tcPr>
          <w:p w:rsidR="00E10D7F" w:rsidRDefault="00E10D7F" w:rsidP="00E10D7F">
            <w:pPr>
              <w:keepNext/>
              <w:spacing w:before="40" w:after="40"/>
              <w:jc w:val="right"/>
              <w:rPr>
                <w:color w:val="000000"/>
                <w:szCs w:val="22"/>
              </w:rPr>
            </w:pPr>
            <w:r>
              <w:rPr>
                <w:color w:val="000000"/>
                <w:szCs w:val="22"/>
              </w:rPr>
              <w:t>690,000</w:t>
            </w:r>
          </w:p>
        </w:tc>
      </w:tr>
      <w:tr w:rsidR="00E10D7F" w:rsidRPr="007F3E3D" w:rsidTr="00E10D7F">
        <w:trPr>
          <w:trHeight w:val="317"/>
          <w:jc w:val="center"/>
        </w:trPr>
        <w:tc>
          <w:tcPr>
            <w:tcW w:w="3838" w:type="dxa"/>
            <w:noWrap/>
          </w:tcPr>
          <w:p w:rsidR="00E10D7F" w:rsidRDefault="00E10D7F" w:rsidP="00E10D7F">
            <w:pPr>
              <w:keepNext/>
              <w:spacing w:before="40" w:after="40"/>
              <w:rPr>
                <w:szCs w:val="22"/>
              </w:rPr>
            </w:pPr>
            <w:r>
              <w:rPr>
                <w:color w:val="000000"/>
                <w:szCs w:val="22"/>
                <w:lang w:val="en-GB"/>
              </w:rPr>
              <w:t>Gross Profit</w:t>
            </w:r>
          </w:p>
        </w:tc>
        <w:tc>
          <w:tcPr>
            <w:tcW w:w="1859" w:type="dxa"/>
          </w:tcPr>
          <w:p w:rsidR="00E10D7F" w:rsidRDefault="00E10D7F" w:rsidP="00E10D7F">
            <w:pPr>
              <w:keepNext/>
              <w:spacing w:before="40" w:after="40"/>
              <w:jc w:val="right"/>
              <w:rPr>
                <w:color w:val="000000"/>
                <w:szCs w:val="22"/>
              </w:rPr>
            </w:pPr>
            <w:r>
              <w:rPr>
                <w:color w:val="000000"/>
                <w:szCs w:val="22"/>
              </w:rPr>
              <w:t>460,000</w:t>
            </w:r>
          </w:p>
        </w:tc>
      </w:tr>
      <w:tr w:rsidR="00E10D7F" w:rsidRPr="007F3E3D" w:rsidTr="00E10D7F">
        <w:trPr>
          <w:trHeight w:val="317"/>
          <w:jc w:val="center"/>
        </w:trPr>
        <w:tc>
          <w:tcPr>
            <w:tcW w:w="3838" w:type="dxa"/>
            <w:noWrap/>
          </w:tcPr>
          <w:p w:rsidR="00E10D7F" w:rsidRDefault="00E10D7F" w:rsidP="00E10D7F">
            <w:pPr>
              <w:keepNext/>
              <w:spacing w:before="40" w:after="40"/>
              <w:rPr>
                <w:szCs w:val="22"/>
              </w:rPr>
            </w:pPr>
            <w:r>
              <w:rPr>
                <w:color w:val="000000"/>
                <w:szCs w:val="22"/>
                <w:lang w:val="en-GB"/>
              </w:rPr>
              <w:t>Operating Expense</w:t>
            </w:r>
          </w:p>
        </w:tc>
        <w:tc>
          <w:tcPr>
            <w:tcW w:w="1859" w:type="dxa"/>
          </w:tcPr>
          <w:p w:rsidR="00E10D7F" w:rsidRDefault="00E10D7F" w:rsidP="00E10D7F">
            <w:pPr>
              <w:keepNext/>
              <w:spacing w:before="40" w:after="40"/>
              <w:jc w:val="right"/>
              <w:rPr>
                <w:color w:val="000000"/>
                <w:szCs w:val="22"/>
              </w:rPr>
            </w:pPr>
            <w:r>
              <w:rPr>
                <w:color w:val="000000"/>
                <w:szCs w:val="22"/>
              </w:rPr>
              <w:t>287,500</w:t>
            </w:r>
          </w:p>
        </w:tc>
      </w:tr>
      <w:tr w:rsidR="00E10D7F" w:rsidRPr="007F3E3D" w:rsidTr="00E10D7F">
        <w:trPr>
          <w:trHeight w:val="317"/>
          <w:jc w:val="center"/>
        </w:trPr>
        <w:tc>
          <w:tcPr>
            <w:tcW w:w="3838" w:type="dxa"/>
            <w:noWrap/>
          </w:tcPr>
          <w:p w:rsidR="00E10D7F" w:rsidRDefault="00E10D7F" w:rsidP="00E10D7F">
            <w:pPr>
              <w:keepNext/>
              <w:spacing w:before="40" w:after="40"/>
              <w:rPr>
                <w:szCs w:val="22"/>
              </w:rPr>
            </w:pPr>
            <w:r>
              <w:rPr>
                <w:color w:val="000000"/>
                <w:szCs w:val="22"/>
                <w:lang w:val="en-GB"/>
              </w:rPr>
              <w:t xml:space="preserve">Operating Profit </w:t>
            </w:r>
          </w:p>
        </w:tc>
        <w:tc>
          <w:tcPr>
            <w:tcW w:w="1859" w:type="dxa"/>
          </w:tcPr>
          <w:p w:rsidR="00E10D7F" w:rsidRDefault="00E10D7F" w:rsidP="00E10D7F">
            <w:pPr>
              <w:keepNext/>
              <w:spacing w:before="40" w:after="40"/>
              <w:jc w:val="right"/>
              <w:rPr>
                <w:color w:val="000000"/>
                <w:szCs w:val="22"/>
              </w:rPr>
            </w:pPr>
            <w:r>
              <w:rPr>
                <w:color w:val="000000"/>
                <w:szCs w:val="22"/>
              </w:rPr>
              <w:t>172,500</w:t>
            </w:r>
          </w:p>
        </w:tc>
      </w:tr>
    </w:tbl>
    <w:p w:rsidR="00E10D7F" w:rsidRDefault="00E10D7F" w:rsidP="00E10D7F">
      <w:pPr>
        <w:pStyle w:val="BodyText0"/>
      </w:pPr>
    </w:p>
    <w:p w:rsidR="00E10D7F" w:rsidRPr="007F3E3D" w:rsidRDefault="00E10D7F" w:rsidP="00E10D7F">
      <w:pPr>
        <w:pStyle w:val="BodyText0"/>
      </w:pPr>
    </w:p>
    <w:p w:rsidR="00E10D7F" w:rsidRDefault="00E10D7F" w:rsidP="00E10D7F">
      <w:pPr>
        <w:pStyle w:val="Heading10"/>
        <w:spacing w:before="130" w:after="130"/>
      </w:pPr>
      <w:bookmarkStart w:id="77" w:name="_Toc200781325"/>
      <w:bookmarkStart w:id="78" w:name="_Toc289767907"/>
      <w:bookmarkStart w:id="79" w:name="_Toc289781369"/>
      <w:bookmarkStart w:id="80" w:name="_Toc327559244"/>
      <w:r w:rsidRPr="009B295C">
        <w:lastRenderedPageBreak/>
        <w:t>Intercompany Transactions</w:t>
      </w:r>
      <w:bookmarkEnd w:id="77"/>
      <w:bookmarkEnd w:id="78"/>
      <w:bookmarkEnd w:id="79"/>
      <w:bookmarkEnd w:id="80"/>
    </w:p>
    <w:p w:rsidR="00E10D7F" w:rsidRPr="003A0B3E"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b/>
        </w:rPr>
      </w:pPr>
      <w:r>
        <w:rPr>
          <w:b/>
        </w:rPr>
        <w:fldChar w:fldCharType="begin"/>
      </w:r>
      <w:r>
        <w:rPr>
          <w:b/>
        </w:rPr>
        <w:instrText xml:space="preserve"> HYPERLINK "http://usportal.us.kworld.kpmg.com/us/Functions/tax/evs/tp/TPWiki/Wiki%20Pages/3.%20Description%20of%20the%20Intercompany%20Transactions%20-%20Technical%20Guidance.aspx?usersegment=9D92EDE4EA54691B5BEC8CA1C42092FD" </w:instrText>
      </w:r>
      <w:r>
        <w:rPr>
          <w:b/>
        </w:rPr>
        <w:fldChar w:fldCharType="separate"/>
      </w:r>
      <w:r w:rsidRPr="003A0B3E">
        <w:rPr>
          <w:rStyle w:val="Hyperlink"/>
          <w:b/>
        </w:rPr>
        <w:t>TECHNICAL GUIDANCE ON WIKI</w:t>
      </w:r>
    </w:p>
    <w:p w:rsidR="00E10D7F" w:rsidRPr="003A0B3E"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p>
    <w:p w:rsidR="00E10D7F" w:rsidRPr="003A0B3E"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3A0B3E">
        <w:rPr>
          <w:rStyle w:val="Hyperlink"/>
        </w:rPr>
        <w:t>3.1</w:t>
      </w:r>
      <w:r w:rsidRPr="003A0B3E">
        <w:rPr>
          <w:rStyle w:val="Hyperlink"/>
        </w:rPr>
        <w:tab/>
        <w:t>Small Out-of-Scope Transactions</w:t>
      </w:r>
    </w:p>
    <w:p w:rsidR="00E10D7F" w:rsidRPr="003A0B3E"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3A0B3E">
        <w:rPr>
          <w:rStyle w:val="Hyperlink"/>
        </w:rPr>
        <w:t>3.2</w:t>
      </w:r>
      <w:r w:rsidRPr="003A0B3E">
        <w:rPr>
          <w:rStyle w:val="Hyperlink"/>
        </w:rPr>
        <w:tab/>
        <w:t>Defining Intercompany Transactions</w:t>
      </w:r>
    </w:p>
    <w:p w:rsidR="00E10D7F" w:rsidRPr="003A0B3E"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3A0B3E">
        <w:rPr>
          <w:rStyle w:val="Hyperlink"/>
        </w:rPr>
        <w:t>3.3</w:t>
      </w:r>
      <w:r w:rsidRPr="003A0B3E">
        <w:rPr>
          <w:rStyle w:val="Hyperlink"/>
        </w:rPr>
        <w:tab/>
        <w:t>Description of Intercompany Agreements</w:t>
      </w:r>
    </w:p>
    <w:p w:rsidR="00E10D7F" w:rsidRPr="003A0B3E"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3A0B3E">
        <w:rPr>
          <w:rStyle w:val="Hyperlink"/>
        </w:rPr>
        <w:t>3.3.1</w:t>
      </w:r>
      <w:r w:rsidRPr="003A0B3E">
        <w:rPr>
          <w:rStyle w:val="Hyperlink"/>
        </w:rPr>
        <w:tab/>
      </w:r>
      <w:r w:rsidRPr="003A0B3E">
        <w:rPr>
          <w:rStyle w:val="Hyperlink"/>
        </w:rPr>
        <w:tab/>
        <w:t>Do they Exist?</w:t>
      </w:r>
    </w:p>
    <w:p w:rsidR="00E10D7F" w:rsidRPr="003A0B3E"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3A0B3E">
        <w:rPr>
          <w:rStyle w:val="Hyperlink"/>
        </w:rPr>
        <w:t>3.3.2</w:t>
      </w:r>
      <w:r w:rsidRPr="003A0B3E">
        <w:rPr>
          <w:rStyle w:val="Hyperlink"/>
        </w:rPr>
        <w:tab/>
      </w:r>
      <w:r w:rsidRPr="003A0B3E">
        <w:rPr>
          <w:rStyle w:val="Hyperlink"/>
        </w:rPr>
        <w:tab/>
        <w:t>Include the Basic Terms of the Transaction</w:t>
      </w:r>
    </w:p>
    <w:p w:rsidR="00E10D7F" w:rsidRPr="003A0B3E"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3A0B3E">
        <w:rPr>
          <w:rStyle w:val="Hyperlink"/>
        </w:rPr>
        <w:t>3.3.3</w:t>
      </w:r>
      <w:r w:rsidRPr="003A0B3E">
        <w:rPr>
          <w:rStyle w:val="Hyperlink"/>
        </w:rPr>
        <w:tab/>
      </w:r>
      <w:r w:rsidRPr="003A0B3E">
        <w:rPr>
          <w:rStyle w:val="Hyperlink"/>
        </w:rPr>
        <w:tab/>
        <w:t>Intangibles and Other Assets</w:t>
      </w:r>
    </w:p>
    <w:p w:rsidR="00E10D7F" w:rsidRPr="003A0B3E"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3A0B3E">
        <w:rPr>
          <w:rStyle w:val="Hyperlink"/>
        </w:rPr>
        <w:t>3.4</w:t>
      </w:r>
      <w:r w:rsidRPr="003A0B3E">
        <w:rPr>
          <w:rStyle w:val="Hyperlink"/>
        </w:rPr>
        <w:tab/>
        <w:t>Transfer Pricing Policies</w:t>
      </w:r>
    </w:p>
    <w:p w:rsidR="00E10D7F" w:rsidRPr="003A0B3E"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rPr>
          <w:rStyle w:val="Hyperlink"/>
        </w:rPr>
      </w:pPr>
      <w:r w:rsidRPr="003A0B3E">
        <w:rPr>
          <w:rStyle w:val="Hyperlink"/>
        </w:rPr>
        <w:t>3.5</w:t>
      </w:r>
      <w:r w:rsidRPr="003A0B3E">
        <w:rPr>
          <w:rStyle w:val="Hyperlink"/>
        </w:rPr>
        <w:tab/>
        <w:t>Interrelationship of Related Party Transactions</w:t>
      </w:r>
    </w:p>
    <w:p w:rsidR="00E10D7F" w:rsidRDefault="00E10D7F" w:rsidP="00E10D7F">
      <w:pPr>
        <w:pStyle w:val="BodyText0"/>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pPr>
      <w:r w:rsidRPr="003A0B3E">
        <w:rPr>
          <w:rStyle w:val="Hyperlink"/>
        </w:rPr>
        <w:t>3.6</w:t>
      </w:r>
      <w:r w:rsidRPr="003A0B3E">
        <w:rPr>
          <w:rStyle w:val="Hyperlink"/>
        </w:rPr>
        <w:tab/>
        <w:t>Financial Data on the Intercompany Transactions</w:t>
      </w:r>
      <w:r>
        <w:rPr>
          <w:b/>
        </w:rPr>
        <w:fldChar w:fldCharType="end"/>
      </w:r>
    </w:p>
    <w:p w:rsidR="00E10D7F" w:rsidRDefault="00E10D7F" w:rsidP="00E10D7F">
      <w:pPr>
        <w:pStyle w:val="BodyText0"/>
      </w:pPr>
    </w:p>
    <w:p w:rsidR="00E10D7F" w:rsidRDefault="00E10D7F" w:rsidP="00E10D7F">
      <w:pPr>
        <w:pStyle w:val="Heading20"/>
      </w:pPr>
      <w:bookmarkStart w:id="81" w:name="_Toc287890881"/>
      <w:bookmarkStart w:id="82" w:name="_Toc287890882"/>
      <w:bookmarkStart w:id="83" w:name="_Toc287890901"/>
      <w:bookmarkStart w:id="84" w:name="_Toc287890902"/>
      <w:bookmarkStart w:id="85" w:name="_Toc287890903"/>
      <w:bookmarkStart w:id="86" w:name="_Toc287890904"/>
      <w:bookmarkStart w:id="87" w:name="_Toc287890927"/>
      <w:bookmarkStart w:id="88" w:name="_Toc287890928"/>
      <w:bookmarkStart w:id="89" w:name="_Toc200781326"/>
      <w:bookmarkStart w:id="90" w:name="_Toc289767908"/>
      <w:bookmarkStart w:id="91" w:name="_Toc289781370"/>
      <w:bookmarkStart w:id="92" w:name="_Toc327559245"/>
      <w:bookmarkEnd w:id="81"/>
      <w:bookmarkEnd w:id="82"/>
      <w:bookmarkEnd w:id="83"/>
      <w:bookmarkEnd w:id="84"/>
      <w:bookmarkEnd w:id="85"/>
      <w:bookmarkEnd w:id="86"/>
      <w:bookmarkEnd w:id="87"/>
      <w:bookmarkEnd w:id="88"/>
      <w:r>
        <w:t>Transaction</w:t>
      </w:r>
      <w:r w:rsidRPr="009B295C">
        <w:t xml:space="preserve"> 1</w:t>
      </w:r>
      <w:bookmarkEnd w:id="89"/>
      <w:r w:rsidRPr="009B295C">
        <w:t xml:space="preserve"> – Sale of Chemicals to GERCO</w:t>
      </w:r>
      <w:bookmarkEnd w:id="90"/>
      <w:bookmarkEnd w:id="91"/>
      <w:bookmarkEnd w:id="92"/>
    </w:p>
    <w:p w:rsidR="00E10D7F" w:rsidRDefault="00E10D7F" w:rsidP="00E10D7F">
      <w:pPr>
        <w:pStyle w:val="BodyText0"/>
      </w:pPr>
      <w:r>
        <w:t>Transaction</w:t>
      </w:r>
      <w:r w:rsidRPr="009B295C">
        <w:t xml:space="preserve"> 1 is the sale of polystyrene by USCO to GERCO.</w:t>
      </w:r>
      <w:r>
        <w:t xml:space="preserve">  </w:t>
      </w:r>
      <w:r w:rsidRPr="009B295C">
        <w:t xml:space="preserve">GERCO uses this polystyrene in injection molding processes for producing petri dishes and other laboratory containers </w:t>
      </w:r>
      <w:r>
        <w:t>under its CHME</w:t>
      </w:r>
      <w:r>
        <w:rPr>
          <w:vertAlign w:val="superscript"/>
        </w:rPr>
        <w:t xml:space="preserve">TM </w:t>
      </w:r>
      <w:r>
        <w:t xml:space="preserve">trademark </w:t>
      </w:r>
      <w:r w:rsidRPr="009B295C">
        <w:t>for use in biomedical research and science.</w:t>
      </w:r>
      <w:r>
        <w:t xml:space="preserve">  </w:t>
      </w:r>
    </w:p>
    <w:p w:rsidR="00E10D7F" w:rsidRDefault="00E10D7F" w:rsidP="00E10D7F">
      <w:pPr>
        <w:pStyle w:val="BodyText0"/>
      </w:pPr>
      <w:r w:rsidRPr="009B295C">
        <w:t>Key magnitudes of this transaction are:</w:t>
      </w:r>
    </w:p>
    <w:p w:rsidR="00E10D7F" w:rsidRDefault="00E10D7F" w:rsidP="00E10D7F">
      <w:pPr>
        <w:pStyle w:val="BodyText0"/>
        <w:numPr>
          <w:ilvl w:val="0"/>
          <w:numId w:val="19"/>
        </w:numPr>
      </w:pPr>
      <w:r w:rsidRPr="009B295C">
        <w:t>Total sales of polystyrene by USCO to GERCO in FY10 were $50 million; and</w:t>
      </w:r>
    </w:p>
    <w:p w:rsidR="00E10D7F" w:rsidRDefault="00E10D7F" w:rsidP="00E10D7F">
      <w:pPr>
        <w:pStyle w:val="BodyText0"/>
        <w:numPr>
          <w:ilvl w:val="0"/>
          <w:numId w:val="19"/>
        </w:numPr>
      </w:pPr>
      <w:r w:rsidRPr="009B295C">
        <w:t>USCO sold $500 million of chemicals, including $150 million of polystyrene, to GERCO and third parties in FY10.</w:t>
      </w:r>
    </w:p>
    <w:p w:rsidR="00E10D7F" w:rsidRDefault="00E10D7F" w:rsidP="00E10D7F">
      <w:pPr>
        <w:pStyle w:val="Heading3"/>
        <w:spacing w:before="130" w:after="130"/>
      </w:pPr>
      <w:bookmarkStart w:id="93" w:name="_Ref295219387"/>
      <w:r w:rsidRPr="009B295C">
        <w:t>Transfer Pricing Policy</w:t>
      </w:r>
      <w:bookmarkEnd w:id="93"/>
      <w:r>
        <w:rPr>
          <w:rStyle w:val="FootnoteReference"/>
        </w:rPr>
        <w:footnoteReference w:id="6"/>
      </w:r>
    </w:p>
    <w:p w:rsidR="00E10D7F" w:rsidRDefault="00E10D7F" w:rsidP="00E10D7F">
      <w:pPr>
        <w:pStyle w:val="BodyText0"/>
      </w:pPr>
      <w:r w:rsidRPr="009B295C">
        <w:t>The price for the polystyrene sold by USCO to GERCO is determined quarterly in accordance with the terms of the intercompany agreement between USCO and GERCO executed in 2008.</w:t>
      </w:r>
      <w:r>
        <w:t xml:space="preserve">  </w:t>
      </w:r>
      <w:r w:rsidRPr="009B295C">
        <w:t>According to this contract:</w:t>
      </w:r>
    </w:p>
    <w:p w:rsidR="00E10D7F" w:rsidRDefault="00E10D7F" w:rsidP="00E10D7F">
      <w:pPr>
        <w:pStyle w:val="BodyText0"/>
        <w:numPr>
          <w:ilvl w:val="0"/>
          <w:numId w:val="19"/>
        </w:numPr>
      </w:pPr>
      <w:r w:rsidRPr="009B295C">
        <w:t>GERCO is required to send USCO an estimate of the polystyrene it will require for each calendar quarter at least 15 days before the beginning of the quarter;</w:t>
      </w:r>
    </w:p>
    <w:p w:rsidR="00E10D7F" w:rsidRDefault="00E10D7F" w:rsidP="00E10D7F">
      <w:pPr>
        <w:pStyle w:val="BodyText0"/>
        <w:numPr>
          <w:ilvl w:val="0"/>
          <w:numId w:val="19"/>
        </w:numPr>
      </w:pPr>
      <w:r w:rsidRPr="009B295C">
        <w:t xml:space="preserve">USCO is then required to provide GERCO a price for the products within seven business days; </w:t>
      </w:r>
    </w:p>
    <w:p w:rsidR="00E10D7F" w:rsidRDefault="00E10D7F" w:rsidP="00E10D7F">
      <w:pPr>
        <w:pStyle w:val="BodyText0"/>
        <w:numPr>
          <w:ilvl w:val="0"/>
          <w:numId w:val="19"/>
        </w:numPr>
      </w:pPr>
      <w:r w:rsidRPr="009B295C">
        <w:t>While the agreement does not specify actual prices for the products, it says that if USCO sells an identical product to a third party, then the price quoted to GERCO must be the same as the price quoted or charged to the third party.</w:t>
      </w:r>
      <w:r>
        <w:t xml:space="preserve">  </w:t>
      </w:r>
      <w:r w:rsidRPr="009B295C">
        <w:t xml:space="preserve">If USCO does not sell an identical product to a third party then it must follow the same procedures for determining price to GERCO as it would have used had a third party made the request GERCO made; </w:t>
      </w:r>
    </w:p>
    <w:p w:rsidR="00E10D7F" w:rsidRDefault="00E10D7F" w:rsidP="00E10D7F">
      <w:pPr>
        <w:pStyle w:val="BodyText0"/>
        <w:numPr>
          <w:ilvl w:val="0"/>
          <w:numId w:val="19"/>
        </w:numPr>
      </w:pPr>
      <w:r w:rsidRPr="009B295C">
        <w:t>USCO is expected to meet GERCO’s request within a certain band of volume specified in the intercompany agreement.</w:t>
      </w:r>
      <w:r>
        <w:t xml:space="preserve">  </w:t>
      </w:r>
      <w:r w:rsidRPr="009B295C">
        <w:t xml:space="preserve">If GERCO’s request lies outside this band and USCO does not think it will be able to produce the requested amount, USCO needs to let GERCO know within seven days how much product it can supply; </w:t>
      </w:r>
    </w:p>
    <w:p w:rsidR="00E10D7F" w:rsidRDefault="00E10D7F" w:rsidP="00E10D7F">
      <w:pPr>
        <w:pStyle w:val="BodyText0"/>
        <w:numPr>
          <w:ilvl w:val="0"/>
          <w:numId w:val="19"/>
        </w:numPr>
      </w:pPr>
      <w:r w:rsidRPr="009B295C">
        <w:lastRenderedPageBreak/>
        <w:t>Once GERCO receives the quote from USCO it has the option of saying no to USCO within three days and sourcing its product from elsewhere.</w:t>
      </w:r>
      <w:r>
        <w:t xml:space="preserve">  </w:t>
      </w:r>
      <w:r w:rsidRPr="009B295C">
        <w:t xml:space="preserve">GERCO is also always free to get price quotes from third parties; </w:t>
      </w:r>
    </w:p>
    <w:p w:rsidR="00E10D7F" w:rsidRDefault="00E10D7F" w:rsidP="00E10D7F">
      <w:pPr>
        <w:pStyle w:val="BodyText0"/>
        <w:numPr>
          <w:ilvl w:val="0"/>
          <w:numId w:val="19"/>
        </w:numPr>
      </w:pPr>
      <w:r w:rsidRPr="009B295C">
        <w:t xml:space="preserve">USCO is required to deliver the promised amount by the tenth business day from the start of the calendar quarter; </w:t>
      </w:r>
    </w:p>
    <w:p w:rsidR="00E10D7F" w:rsidRDefault="00E10D7F" w:rsidP="00E10D7F">
      <w:pPr>
        <w:pStyle w:val="BodyText0"/>
        <w:numPr>
          <w:ilvl w:val="0"/>
          <w:numId w:val="19"/>
        </w:numPr>
      </w:pPr>
      <w:r>
        <w:rPr>
          <w:szCs w:val="22"/>
        </w:rPr>
        <w:t>GERCO takes title to USCO products it purchases when it takes physical possession of the product;</w:t>
      </w:r>
      <w:r w:rsidRPr="009B295C" w:rsidDel="00F9514C">
        <w:t xml:space="preserve"> </w:t>
      </w:r>
      <w:r w:rsidRPr="009B295C">
        <w:t>and</w:t>
      </w:r>
    </w:p>
    <w:p w:rsidR="00E10D7F" w:rsidRDefault="00E10D7F" w:rsidP="00E10D7F">
      <w:pPr>
        <w:pStyle w:val="BodyText0"/>
        <w:numPr>
          <w:ilvl w:val="0"/>
          <w:numId w:val="19"/>
        </w:numPr>
      </w:pPr>
      <w:r w:rsidRPr="009B295C">
        <w:t>The term of the contract is for five years with automatic annual renewals unless one of the parties terminates it.</w:t>
      </w:r>
    </w:p>
    <w:p w:rsidR="00E10D7F" w:rsidRDefault="00E10D7F" w:rsidP="00E10D7F">
      <w:pPr>
        <w:pStyle w:val="Heading20"/>
      </w:pPr>
      <w:bookmarkStart w:id="94" w:name="_Toc200781331"/>
      <w:bookmarkStart w:id="95" w:name="_Toc289767909"/>
      <w:bookmarkStart w:id="96" w:name="_Toc289781371"/>
      <w:bookmarkStart w:id="97" w:name="_Toc327559246"/>
      <w:r>
        <w:t>Transaction</w:t>
      </w:r>
      <w:r w:rsidRPr="009B295C">
        <w:t xml:space="preserve"> 2</w:t>
      </w:r>
      <w:bookmarkEnd w:id="94"/>
      <w:r w:rsidRPr="009B295C">
        <w:t xml:space="preserve"> – Purchase of Chemicals from CANCO</w:t>
      </w:r>
      <w:bookmarkEnd w:id="95"/>
      <w:bookmarkEnd w:id="96"/>
      <w:bookmarkEnd w:id="97"/>
    </w:p>
    <w:p w:rsidR="00E10D7F" w:rsidRDefault="00E10D7F" w:rsidP="00E10D7F">
      <w:pPr>
        <w:pStyle w:val="BodyText0"/>
      </w:pPr>
      <w:r>
        <w:t>Transaction</w:t>
      </w:r>
      <w:r w:rsidRPr="009B295C">
        <w:t xml:space="preserve"> 2 is the purchase of tangible goods by USCO from CANCO. The purchase consists primarily of polystyrene and polyurethane manufactured by CANCO, and a small amount of packaging material that CANCO buys from third parties.</w:t>
      </w:r>
      <w:r>
        <w:t xml:space="preserve">  </w:t>
      </w:r>
      <w:r w:rsidRPr="009B295C">
        <w:t>Key magnitudes of this transaction are:</w:t>
      </w:r>
    </w:p>
    <w:p w:rsidR="00E10D7F" w:rsidRDefault="00E10D7F" w:rsidP="00E10D7F">
      <w:pPr>
        <w:pStyle w:val="BodyText0"/>
        <w:numPr>
          <w:ilvl w:val="0"/>
          <w:numId w:val="18"/>
        </w:numPr>
      </w:pPr>
      <w:r w:rsidRPr="009B295C">
        <w:t xml:space="preserve">Total purchases  of </w:t>
      </w:r>
      <w:r>
        <w:t>USCO’s</w:t>
      </w:r>
      <w:r w:rsidRPr="009B295C">
        <w:t xml:space="preserve"> Chemicals segment in 2011 were $300 million, of which $270 million consisted of chemicals manufactured by CANCO; and</w:t>
      </w:r>
    </w:p>
    <w:p w:rsidR="00E10D7F" w:rsidRDefault="00E10D7F" w:rsidP="00E10D7F">
      <w:pPr>
        <w:pStyle w:val="BodyText0"/>
        <w:numPr>
          <w:ilvl w:val="0"/>
          <w:numId w:val="18"/>
        </w:numPr>
      </w:pPr>
      <w:r w:rsidRPr="009B295C">
        <w:t>The</w:t>
      </w:r>
      <w:r>
        <w:t xml:space="preserve"> </w:t>
      </w:r>
      <w:r w:rsidRPr="009B295C">
        <w:t xml:space="preserve">products </w:t>
      </w:r>
      <w:r>
        <w:t xml:space="preserve">purchased from CANCO </w:t>
      </w:r>
      <w:r w:rsidRPr="009B295C">
        <w:t>were resold without being modified by USCO, and accounted for close to 90 percent of USCO’s sales of chemical</w:t>
      </w:r>
      <w:r>
        <w:t>s</w:t>
      </w:r>
      <w:r w:rsidRPr="009B295C">
        <w:t>.</w:t>
      </w:r>
    </w:p>
    <w:p w:rsidR="00E10D7F" w:rsidRDefault="00E10D7F" w:rsidP="00E10D7F">
      <w:pPr>
        <w:pStyle w:val="Heading3"/>
        <w:spacing w:before="130" w:after="130"/>
      </w:pPr>
      <w:bookmarkStart w:id="98" w:name="_Ref295811977"/>
      <w:r w:rsidRPr="009B295C">
        <w:t>Transfer Pricing Policy</w:t>
      </w:r>
      <w:bookmarkEnd w:id="98"/>
      <w:r>
        <w:rPr>
          <w:rStyle w:val="FootnoteReference"/>
        </w:rPr>
        <w:footnoteReference w:id="7"/>
      </w:r>
    </w:p>
    <w:p w:rsidR="00E10D7F" w:rsidRDefault="00E10D7F" w:rsidP="00E10D7F">
      <w:pPr>
        <w:pStyle w:val="BodyText0"/>
      </w:pPr>
      <w:r w:rsidRPr="009B295C">
        <w:rPr>
          <w:szCs w:val="22"/>
        </w:rPr>
        <w:t>Management has represented to KPMG that while there is no written intercompany agreement or transfer pricing policy that covers this transaction, t</w:t>
      </w:r>
      <w:r w:rsidRPr="009B295C">
        <w:t xml:space="preserve">ransfer prices for the chemicals are set as follows: </w:t>
      </w:r>
    </w:p>
    <w:p w:rsidR="00E10D7F" w:rsidRDefault="00E10D7F" w:rsidP="00E10D7F">
      <w:pPr>
        <w:pStyle w:val="BodyText0"/>
        <w:numPr>
          <w:ilvl w:val="0"/>
          <w:numId w:val="22"/>
        </w:numPr>
      </w:pPr>
      <w:r w:rsidRPr="009B295C">
        <w:t>USCO produces a list price quarterly for each type of chemical that it sells, which forms the basis of its sale price to its third party customers.</w:t>
      </w:r>
      <w:r>
        <w:t xml:space="preserve">  </w:t>
      </w:r>
      <w:r w:rsidRPr="009B295C">
        <w:t>CANCO sells its products to USCO at a discount of 40 percent on USCO’s list price</w:t>
      </w:r>
      <w:r>
        <w:t>.  USCO produces weekly list prices for its customers, which are benchmarked to certain market prices including the price of crude oil</w:t>
      </w:r>
      <w:r w:rsidRPr="009B295C">
        <w:t>;</w:t>
      </w:r>
      <w:r>
        <w:t xml:space="preserve">    </w:t>
      </w:r>
    </w:p>
    <w:p w:rsidR="00E10D7F" w:rsidRDefault="00E10D7F" w:rsidP="00E10D7F">
      <w:pPr>
        <w:pStyle w:val="BodyText0"/>
        <w:numPr>
          <w:ilvl w:val="0"/>
          <w:numId w:val="22"/>
        </w:numPr>
      </w:pPr>
      <w:r w:rsidRPr="009B295C">
        <w:t xml:space="preserve">CANCO does not commit to protect </w:t>
      </w:r>
      <w:r>
        <w:t>USCO’s</w:t>
      </w:r>
      <w:r w:rsidRPr="009B295C">
        <w:t xml:space="preserve"> gross margin if the prices received</w:t>
      </w:r>
      <w:r>
        <w:t xml:space="preserve"> by USCO</w:t>
      </w:r>
      <w:r w:rsidRPr="009B295C">
        <w:t xml:space="preserve"> from third parties are different from the list prices;</w:t>
      </w:r>
    </w:p>
    <w:p w:rsidR="00E10D7F" w:rsidRDefault="00E10D7F" w:rsidP="00E10D7F">
      <w:pPr>
        <w:pStyle w:val="BodyText0"/>
        <w:numPr>
          <w:ilvl w:val="0"/>
          <w:numId w:val="22"/>
        </w:numPr>
      </w:pPr>
      <w:r w:rsidRPr="009B295C">
        <w:t>USCO and CANCO do not make or contemplate making year-end adjustments to bring USCO’s gross margin to a target level.</w:t>
      </w:r>
    </w:p>
    <w:p w:rsidR="00E10D7F" w:rsidRDefault="00E10D7F" w:rsidP="00E10D7F">
      <w:pPr>
        <w:pStyle w:val="BodyText0"/>
        <w:ind w:left="360"/>
      </w:pPr>
      <w:r>
        <w:rPr>
          <w:szCs w:val="22"/>
        </w:rPr>
        <w:t>The title for product sold by CANCO to USCO passes on to USCO once it takes physical possession of the product.</w:t>
      </w:r>
    </w:p>
    <w:p w:rsidR="00E10D7F" w:rsidRDefault="00E10D7F" w:rsidP="00E10D7F">
      <w:pPr>
        <w:pStyle w:val="Heading20"/>
      </w:pPr>
      <w:bookmarkStart w:id="99" w:name="_Toc327559247"/>
      <w:r w:rsidRPr="009B295C">
        <w:t>Interrelationship of Transactions</w:t>
      </w:r>
      <w:bookmarkEnd w:id="99"/>
    </w:p>
    <w:p w:rsidR="00E10D7F" w:rsidRDefault="00E10D7F" w:rsidP="00E10D7F">
      <w:pPr>
        <w:pStyle w:val="BodyText0"/>
      </w:pPr>
      <w:r>
        <w:t>Transaction</w:t>
      </w:r>
      <w:r w:rsidRPr="009B295C">
        <w:t xml:space="preserve"> 1 involves the sale of polystyrene by USCO to GERCO.</w:t>
      </w:r>
      <w:r>
        <w:t xml:space="preserve">  Transaction</w:t>
      </w:r>
      <w:r w:rsidRPr="009B295C">
        <w:t xml:space="preserve"> 2 involves the purchase of polystyrene and polyurethane by USCO from CANCO.</w:t>
      </w:r>
      <w:r>
        <w:t xml:space="preserve">  </w:t>
      </w:r>
      <w:r w:rsidRPr="009B295C">
        <w:t xml:space="preserve">Some of the products purchased by USCO in </w:t>
      </w:r>
      <w:r>
        <w:t>Transaction</w:t>
      </w:r>
      <w:r w:rsidRPr="009B295C">
        <w:t xml:space="preserve"> 2 are, therefore, sold to GERCO in </w:t>
      </w:r>
      <w:r>
        <w:t>Transaction</w:t>
      </w:r>
      <w:r w:rsidRPr="009B295C">
        <w:t xml:space="preserve"> 1.</w:t>
      </w:r>
      <w:r>
        <w:rPr>
          <w:rStyle w:val="FootnoteReference"/>
        </w:rPr>
        <w:footnoteReference w:id="8"/>
      </w:r>
      <w:r>
        <w:t xml:space="preserve">  </w:t>
      </w:r>
    </w:p>
    <w:p w:rsidR="00E10D7F" w:rsidRDefault="00E10D7F" w:rsidP="00E10D7F">
      <w:pPr>
        <w:pStyle w:val="Heading20"/>
      </w:pPr>
      <w:bookmarkStart w:id="100" w:name="_Toc289767910"/>
      <w:bookmarkStart w:id="101" w:name="_Toc289781372"/>
      <w:bookmarkStart w:id="102" w:name="_Toc327559248"/>
      <w:bookmarkStart w:id="103" w:name="_Ref287875948"/>
      <w:r w:rsidRPr="009B295C">
        <w:lastRenderedPageBreak/>
        <w:t>Financial Data on the Intercompany Transactions</w:t>
      </w:r>
      <w:bookmarkEnd w:id="100"/>
      <w:bookmarkEnd w:id="101"/>
      <w:bookmarkEnd w:id="102"/>
      <w:r w:rsidRPr="009B295C">
        <w:t xml:space="preserve"> </w:t>
      </w:r>
      <w:bookmarkEnd w:id="103"/>
    </w:p>
    <w:p w:rsidR="00E10D7F" w:rsidRDefault="00E10D7F" w:rsidP="00E10D7F">
      <w:pPr>
        <w:pStyle w:val="BodyText0"/>
        <w:keepNext/>
      </w:pPr>
      <w:r w:rsidRPr="009B295C">
        <w:t>The key data with respect to the intercompany transactions at issue</w:t>
      </w:r>
      <w:r>
        <w:t xml:space="preserve"> are </w:t>
      </w:r>
      <w:r w:rsidRPr="00FC020E">
        <w:t>s</w:t>
      </w:r>
      <w:r>
        <w:t>ummarized in the t</w:t>
      </w:r>
      <w:r w:rsidRPr="00FC020E">
        <w:t>able below</w:t>
      </w:r>
      <w:r>
        <w:t>.</w:t>
      </w:r>
      <w:r w:rsidRPr="00FC020E">
        <w:t xml:space="preserve"> </w:t>
      </w:r>
      <w:r>
        <w:t xml:space="preserve">Additional detail can be found in Appendix </w:t>
      </w:r>
      <w:r>
        <w:fldChar w:fldCharType="begin"/>
      </w:r>
      <w:r>
        <w:instrText xml:space="preserve"> REF _Ref326395381 \r \h </w:instrText>
      </w:r>
      <w:r>
        <w:fldChar w:fldCharType="separate"/>
      </w:r>
      <w:r>
        <w:t>0</w:t>
      </w:r>
      <w:r>
        <w:fldChar w:fldCharType="end"/>
      </w:r>
      <w:r>
        <w:t>.</w:t>
      </w:r>
    </w:p>
    <w:p w:rsidR="00E10D7F" w:rsidRDefault="00E10D7F" w:rsidP="00E10D7F">
      <w:pPr>
        <w:pStyle w:val="Caption"/>
        <w:keepNext/>
        <w:keepLines/>
        <w:spacing w:before="120" w:after="120"/>
        <w:jc w:val="center"/>
        <w:rPr>
          <w:szCs w:val="22"/>
        </w:rPr>
      </w:pPr>
      <w:r w:rsidRPr="009B295C">
        <w:rPr>
          <w:szCs w:val="22"/>
        </w:rPr>
        <w:t xml:space="preserve">Table </w:t>
      </w:r>
      <w:r w:rsidRPr="009B295C">
        <w:rPr>
          <w:szCs w:val="22"/>
        </w:rPr>
        <w:fldChar w:fldCharType="begin"/>
      </w:r>
      <w:r w:rsidRPr="009B295C">
        <w:rPr>
          <w:szCs w:val="22"/>
        </w:rPr>
        <w:instrText xml:space="preserve"> SEQ Table \* ARABIC </w:instrText>
      </w:r>
      <w:r w:rsidRPr="009B295C">
        <w:rPr>
          <w:szCs w:val="22"/>
        </w:rPr>
        <w:fldChar w:fldCharType="separate"/>
      </w:r>
      <w:r>
        <w:rPr>
          <w:noProof/>
          <w:szCs w:val="22"/>
        </w:rPr>
        <w:t>6</w:t>
      </w:r>
      <w:r w:rsidRPr="009B295C">
        <w:rPr>
          <w:szCs w:val="22"/>
        </w:rPr>
        <w:fldChar w:fldCharType="end"/>
      </w:r>
      <w:r w:rsidRPr="009B295C">
        <w:rPr>
          <w:szCs w:val="22"/>
        </w:rPr>
        <w:t>:</w:t>
      </w:r>
      <w:r w:rsidRPr="00FC020E">
        <w:t xml:space="preserve"> </w:t>
      </w:r>
      <w:r>
        <w:rPr>
          <w:szCs w:val="22"/>
        </w:rPr>
        <w:t xml:space="preserve"> </w:t>
      </w:r>
      <w:r w:rsidRPr="009B295C">
        <w:rPr>
          <w:szCs w:val="22"/>
        </w:rPr>
        <w:t>Summary of the Intercompany Transactions (FY1</w:t>
      </w:r>
      <w:r>
        <w:rPr>
          <w:szCs w:val="22"/>
        </w:rPr>
        <w:t>1</w:t>
      </w:r>
      <w:r w:rsidRPr="009B295C">
        <w:rPr>
          <w:szCs w:val="22"/>
        </w:rPr>
        <w:t>)</w:t>
      </w:r>
    </w:p>
    <w:tbl>
      <w:tblPr>
        <w:tblW w:w="9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9"/>
        <w:gridCol w:w="1206"/>
        <w:gridCol w:w="1170"/>
        <w:gridCol w:w="2250"/>
        <w:gridCol w:w="2592"/>
      </w:tblGrid>
      <w:tr w:rsidR="00E10D7F" w:rsidRPr="007F3E3D" w:rsidTr="00E10D7F">
        <w:trPr>
          <w:trHeight w:val="317"/>
          <w:jc w:val="center"/>
        </w:trPr>
        <w:tc>
          <w:tcPr>
            <w:tcW w:w="2269" w:type="dxa"/>
            <w:shd w:val="clear" w:color="auto" w:fill="auto"/>
            <w:noWrap/>
            <w:vAlign w:val="center"/>
          </w:tcPr>
          <w:p w:rsidR="00E10D7F" w:rsidRDefault="00E10D7F" w:rsidP="00E10D7F">
            <w:pPr>
              <w:keepNext/>
              <w:spacing w:before="40" w:after="40"/>
              <w:jc w:val="center"/>
              <w:rPr>
                <w:b/>
              </w:rPr>
            </w:pPr>
            <w:r w:rsidRPr="009B295C">
              <w:rPr>
                <w:b/>
              </w:rPr>
              <w:t>Transaction</w:t>
            </w:r>
          </w:p>
        </w:tc>
        <w:tc>
          <w:tcPr>
            <w:tcW w:w="1206" w:type="dxa"/>
            <w:shd w:val="clear" w:color="auto" w:fill="auto"/>
            <w:noWrap/>
            <w:vAlign w:val="center"/>
          </w:tcPr>
          <w:p w:rsidR="00E10D7F" w:rsidRDefault="00E10D7F" w:rsidP="00E10D7F">
            <w:pPr>
              <w:keepNext/>
              <w:spacing w:before="40" w:after="40"/>
              <w:jc w:val="center"/>
              <w:rPr>
                <w:b/>
              </w:rPr>
            </w:pPr>
            <w:r w:rsidRPr="009B295C">
              <w:rPr>
                <w:b/>
              </w:rPr>
              <w:t>From</w:t>
            </w:r>
          </w:p>
        </w:tc>
        <w:tc>
          <w:tcPr>
            <w:tcW w:w="1170" w:type="dxa"/>
            <w:shd w:val="clear" w:color="auto" w:fill="auto"/>
            <w:vAlign w:val="center"/>
          </w:tcPr>
          <w:p w:rsidR="00E10D7F" w:rsidRDefault="00E10D7F" w:rsidP="00E10D7F">
            <w:pPr>
              <w:keepNext/>
              <w:spacing w:before="40" w:after="40"/>
              <w:jc w:val="center"/>
              <w:rPr>
                <w:b/>
              </w:rPr>
            </w:pPr>
            <w:r w:rsidRPr="009B295C">
              <w:rPr>
                <w:b/>
              </w:rPr>
              <w:t>To/By</w:t>
            </w:r>
          </w:p>
        </w:tc>
        <w:tc>
          <w:tcPr>
            <w:tcW w:w="2250" w:type="dxa"/>
            <w:shd w:val="clear" w:color="auto" w:fill="auto"/>
            <w:vAlign w:val="center"/>
          </w:tcPr>
          <w:p w:rsidR="00E10D7F" w:rsidRDefault="00E10D7F" w:rsidP="00E10D7F">
            <w:pPr>
              <w:keepNext/>
              <w:spacing w:before="40" w:after="40"/>
              <w:jc w:val="center"/>
              <w:rPr>
                <w:b/>
              </w:rPr>
            </w:pPr>
            <w:r w:rsidRPr="009B295C">
              <w:rPr>
                <w:b/>
              </w:rPr>
              <w:t>Transaction Amount</w:t>
            </w:r>
          </w:p>
        </w:tc>
        <w:tc>
          <w:tcPr>
            <w:tcW w:w="2592" w:type="dxa"/>
            <w:shd w:val="clear" w:color="auto" w:fill="auto"/>
            <w:vAlign w:val="center"/>
          </w:tcPr>
          <w:p w:rsidR="00E10D7F" w:rsidRPr="009B295C" w:rsidRDefault="00E10D7F" w:rsidP="00E10D7F">
            <w:pPr>
              <w:keepNext/>
              <w:spacing w:before="40" w:after="40"/>
              <w:jc w:val="center"/>
              <w:rPr>
                <w:b/>
              </w:rPr>
            </w:pPr>
            <w:r>
              <w:rPr>
                <w:b/>
              </w:rPr>
              <w:t>% of Sales/Purchases</w:t>
            </w:r>
          </w:p>
        </w:tc>
      </w:tr>
      <w:tr w:rsidR="00E10D7F" w:rsidRPr="007F3E3D" w:rsidTr="00E10D7F">
        <w:trPr>
          <w:trHeight w:val="317"/>
          <w:jc w:val="center"/>
        </w:trPr>
        <w:tc>
          <w:tcPr>
            <w:tcW w:w="2269" w:type="dxa"/>
            <w:noWrap/>
          </w:tcPr>
          <w:p w:rsidR="00E10D7F" w:rsidRDefault="00E10D7F" w:rsidP="00E10D7F">
            <w:pPr>
              <w:keepNext/>
              <w:spacing w:before="40" w:after="40"/>
            </w:pPr>
            <w:r w:rsidRPr="009B295C">
              <w:t>Sale of chemicals</w:t>
            </w:r>
          </w:p>
        </w:tc>
        <w:tc>
          <w:tcPr>
            <w:tcW w:w="1206" w:type="dxa"/>
            <w:noWrap/>
          </w:tcPr>
          <w:p w:rsidR="00E10D7F" w:rsidRDefault="00E10D7F" w:rsidP="00E10D7F">
            <w:pPr>
              <w:keepNext/>
              <w:spacing w:before="40" w:after="40"/>
            </w:pPr>
            <w:r w:rsidRPr="009B295C">
              <w:t>USCO</w:t>
            </w:r>
          </w:p>
        </w:tc>
        <w:tc>
          <w:tcPr>
            <w:tcW w:w="1170" w:type="dxa"/>
          </w:tcPr>
          <w:p w:rsidR="00E10D7F" w:rsidRDefault="00E10D7F" w:rsidP="00E10D7F">
            <w:pPr>
              <w:keepNext/>
              <w:spacing w:before="40" w:after="40"/>
            </w:pPr>
            <w:r w:rsidRPr="009B295C">
              <w:t>GERCO</w:t>
            </w:r>
          </w:p>
        </w:tc>
        <w:tc>
          <w:tcPr>
            <w:tcW w:w="2250" w:type="dxa"/>
          </w:tcPr>
          <w:p w:rsidR="00E10D7F" w:rsidRDefault="00E10D7F" w:rsidP="00E10D7F">
            <w:pPr>
              <w:keepNext/>
              <w:spacing w:before="40" w:after="40"/>
            </w:pPr>
            <w:r w:rsidRPr="009B295C">
              <w:t>$50 million</w:t>
            </w:r>
          </w:p>
        </w:tc>
        <w:tc>
          <w:tcPr>
            <w:tcW w:w="2592" w:type="dxa"/>
          </w:tcPr>
          <w:p w:rsidR="00E10D7F" w:rsidRPr="009B295C" w:rsidRDefault="00E10D7F" w:rsidP="00E10D7F">
            <w:pPr>
              <w:keepNext/>
              <w:spacing w:before="40" w:after="40"/>
            </w:pPr>
            <w:r>
              <w:t>10%</w:t>
            </w:r>
          </w:p>
        </w:tc>
      </w:tr>
      <w:tr w:rsidR="00E10D7F" w:rsidRPr="007F3E3D" w:rsidTr="00E10D7F">
        <w:trPr>
          <w:trHeight w:val="317"/>
          <w:jc w:val="center"/>
        </w:trPr>
        <w:tc>
          <w:tcPr>
            <w:tcW w:w="2269" w:type="dxa"/>
            <w:noWrap/>
          </w:tcPr>
          <w:p w:rsidR="00E10D7F" w:rsidRDefault="00E10D7F" w:rsidP="00E10D7F">
            <w:pPr>
              <w:keepNext/>
              <w:spacing w:before="40" w:after="40"/>
            </w:pPr>
            <w:r w:rsidRPr="009B295C">
              <w:t xml:space="preserve">Purchase of chemicals </w:t>
            </w:r>
          </w:p>
        </w:tc>
        <w:tc>
          <w:tcPr>
            <w:tcW w:w="1206" w:type="dxa"/>
            <w:noWrap/>
          </w:tcPr>
          <w:p w:rsidR="00E10D7F" w:rsidRDefault="00E10D7F" w:rsidP="00E10D7F">
            <w:pPr>
              <w:keepNext/>
              <w:spacing w:before="40" w:after="40"/>
            </w:pPr>
            <w:r w:rsidRPr="009B295C">
              <w:t>CANCO</w:t>
            </w:r>
          </w:p>
        </w:tc>
        <w:tc>
          <w:tcPr>
            <w:tcW w:w="1170" w:type="dxa"/>
          </w:tcPr>
          <w:p w:rsidR="00E10D7F" w:rsidRDefault="00E10D7F" w:rsidP="00E10D7F">
            <w:pPr>
              <w:keepNext/>
              <w:spacing w:before="40" w:after="40"/>
            </w:pPr>
            <w:r w:rsidRPr="009B295C">
              <w:t>USCO</w:t>
            </w:r>
          </w:p>
        </w:tc>
        <w:tc>
          <w:tcPr>
            <w:tcW w:w="2250" w:type="dxa"/>
          </w:tcPr>
          <w:p w:rsidR="00E10D7F" w:rsidRDefault="00E10D7F" w:rsidP="00E10D7F">
            <w:pPr>
              <w:keepNext/>
              <w:spacing w:before="40" w:after="40"/>
            </w:pPr>
            <w:r w:rsidRPr="009B295C">
              <w:t>$270 million</w:t>
            </w:r>
          </w:p>
        </w:tc>
        <w:tc>
          <w:tcPr>
            <w:tcW w:w="2592" w:type="dxa"/>
          </w:tcPr>
          <w:p w:rsidR="00E10D7F" w:rsidRPr="009B295C" w:rsidRDefault="00E10D7F" w:rsidP="00E10D7F">
            <w:pPr>
              <w:keepNext/>
              <w:spacing w:before="40" w:after="40"/>
            </w:pPr>
            <w:r>
              <w:t>90%</w:t>
            </w:r>
          </w:p>
        </w:tc>
      </w:tr>
    </w:tbl>
    <w:p w:rsidR="00E10D7F" w:rsidRDefault="00E10D7F" w:rsidP="00E10D7F">
      <w:pPr>
        <w:pStyle w:val="BodyText0"/>
      </w:pPr>
    </w:p>
    <w:p w:rsidR="00E10D7F" w:rsidRDefault="00E10D7F" w:rsidP="00E10D7F">
      <w:pPr>
        <w:pStyle w:val="Heading20"/>
      </w:pPr>
      <w:bookmarkStart w:id="104" w:name="_Toc327559249"/>
      <w:r>
        <w:t>Intercompany Transaction Flows</w:t>
      </w:r>
      <w:bookmarkEnd w:id="104"/>
    </w:p>
    <w:p w:rsidR="00E10D7F" w:rsidRDefault="00E10D7F" w:rsidP="00E10D7F">
      <w:pPr>
        <w:pStyle w:val="BodyText"/>
      </w:pPr>
      <w:r>
        <w:t>The following diagram graphically represents the intercompany transactions.</w:t>
      </w:r>
    </w:p>
    <w:p w:rsidR="00E10D7F" w:rsidRDefault="00E10D7F" w:rsidP="00E10D7F">
      <w:pPr>
        <w:pStyle w:val="Caption"/>
        <w:jc w:val="center"/>
      </w:pPr>
      <w:r>
        <w:t xml:space="preserve">Figure </w:t>
      </w:r>
      <w:fldSimple w:instr=" SEQ Figure \* ARABIC ">
        <w:r>
          <w:rPr>
            <w:noProof/>
          </w:rPr>
          <w:t>2</w:t>
        </w:r>
      </w:fldSimple>
      <w:r>
        <w:t>: Intercompany Transaction Flows</w:t>
      </w:r>
    </w:p>
    <w:p w:rsidR="00E10D7F" w:rsidRPr="00FC020E" w:rsidRDefault="00E10D7F" w:rsidP="00E10D7F">
      <w:pPr>
        <w:pStyle w:val="BodyText0"/>
      </w:pPr>
      <w:r>
        <w:rPr>
          <w:noProof/>
        </w:rPr>
        <w:pict>
          <v:shape id="_x0000_s1042" type="#_x0000_t202" style="position:absolute;left:0;text-align:left;margin-left:280.85pt;margin-top:20.55pt;width:83.25pt;height:20.75pt;z-index:251676672" filled="f" stroked="f">
            <v:textbox style="mso-next-textbox:#_x0000_s1042">
              <w:txbxContent>
                <w:p w:rsidR="00E10D7F" w:rsidRDefault="00E10D7F" w:rsidP="00E10D7F">
                  <w:pPr>
                    <w:jc w:val="center"/>
                    <w:rPr>
                      <w:sz w:val="18"/>
                      <w:szCs w:val="18"/>
                    </w:rPr>
                  </w:pPr>
                  <w:r w:rsidRPr="008B68B5">
                    <w:rPr>
                      <w:sz w:val="18"/>
                      <w:szCs w:val="18"/>
                    </w:rPr>
                    <w:t>Polystyrene</w:t>
                  </w:r>
                </w:p>
              </w:txbxContent>
            </v:textbox>
          </v:shape>
        </w:pict>
      </w:r>
      <w:r>
        <w:rPr>
          <w:noProof/>
        </w:rPr>
        <w:pict>
          <v:shape id="_x0000_s1039" type="#_x0000_t202" style="position:absolute;left:0;text-align:left;margin-left:97.1pt;margin-top:10.8pt;width:83.25pt;height:19.5pt;z-index:251673600" filled="f" stroked="f">
            <v:textbox style="mso-next-textbox:#_x0000_s1039">
              <w:txbxContent>
                <w:p w:rsidR="00E10D7F" w:rsidRDefault="00E10D7F" w:rsidP="00E10D7F">
                  <w:pPr>
                    <w:jc w:val="center"/>
                    <w:rPr>
                      <w:sz w:val="18"/>
                      <w:szCs w:val="18"/>
                    </w:rPr>
                  </w:pPr>
                  <w:r w:rsidRPr="008B68B5">
                    <w:rPr>
                      <w:sz w:val="18"/>
                      <w:szCs w:val="18"/>
                    </w:rPr>
                    <w:t>Polystyrene</w:t>
                  </w:r>
                </w:p>
              </w:txbxContent>
            </v:textbox>
          </v:shape>
        </w:pict>
      </w:r>
      <w:r>
        <w:rPr>
          <w:noProof/>
        </w:rPr>
        <w:pict>
          <v:rect id="_x0000_s1037" style="position:absolute;left:0;text-align:left;margin-left:361.85pt;margin-top:4.8pt;width:98.25pt;height:84.75pt;z-index:251671552">
            <v:textbox style="mso-next-textbox:#_x0000_s1037">
              <w:txbxContent>
                <w:p w:rsidR="00E10D7F" w:rsidRDefault="00E10D7F" w:rsidP="00E10D7F">
                  <w:pPr>
                    <w:jc w:val="center"/>
                    <w:rPr>
                      <w:b/>
                    </w:rPr>
                  </w:pPr>
                </w:p>
                <w:p w:rsidR="00E10D7F" w:rsidRDefault="00E10D7F" w:rsidP="00E10D7F">
                  <w:pPr>
                    <w:jc w:val="center"/>
                    <w:rPr>
                      <w:b/>
                    </w:rPr>
                  </w:pPr>
                </w:p>
                <w:p w:rsidR="00E10D7F" w:rsidRDefault="00E10D7F" w:rsidP="00E10D7F">
                  <w:pPr>
                    <w:jc w:val="center"/>
                    <w:rPr>
                      <w:b/>
                    </w:rPr>
                  </w:pPr>
                  <w:r>
                    <w:rPr>
                      <w:b/>
                    </w:rPr>
                    <w:t>GERCO</w:t>
                  </w:r>
                </w:p>
              </w:txbxContent>
            </v:textbox>
          </v:rect>
        </w:pict>
      </w:r>
      <w:r>
        <w:rPr>
          <w:noProof/>
        </w:rPr>
        <w:pict>
          <v:rect id="_x0000_s1036" style="position:absolute;left:0;text-align:left;margin-left:180.35pt;margin-top:4.8pt;width:98.25pt;height:84.75pt;z-index:251670528">
            <v:textbox style="mso-next-textbox:#_x0000_s1036">
              <w:txbxContent>
                <w:p w:rsidR="00E10D7F" w:rsidRDefault="00E10D7F" w:rsidP="00E10D7F">
                  <w:pPr>
                    <w:jc w:val="center"/>
                    <w:rPr>
                      <w:b/>
                    </w:rPr>
                  </w:pPr>
                </w:p>
                <w:p w:rsidR="00E10D7F" w:rsidRDefault="00E10D7F" w:rsidP="00E10D7F">
                  <w:pPr>
                    <w:jc w:val="center"/>
                    <w:rPr>
                      <w:b/>
                    </w:rPr>
                  </w:pPr>
                </w:p>
                <w:p w:rsidR="00E10D7F" w:rsidRDefault="00E10D7F" w:rsidP="00E10D7F">
                  <w:pPr>
                    <w:jc w:val="center"/>
                    <w:rPr>
                      <w:b/>
                    </w:rPr>
                  </w:pPr>
                  <w:r>
                    <w:rPr>
                      <w:b/>
                    </w:rPr>
                    <w:t>USCO</w:t>
                  </w:r>
                </w:p>
              </w:txbxContent>
            </v:textbox>
          </v:rect>
        </w:pict>
      </w:r>
      <w:r>
        <w:rPr>
          <w:noProof/>
        </w:rPr>
        <w:pict>
          <v:rect id="_x0000_s1035" style="position:absolute;left:0;text-align:left;margin-left:-1.15pt;margin-top:4.8pt;width:98.25pt;height:84.75pt;z-index:251669504">
            <v:textbox style="mso-next-textbox:#_x0000_s1035">
              <w:txbxContent>
                <w:p w:rsidR="00E10D7F" w:rsidRDefault="00E10D7F" w:rsidP="00E10D7F">
                  <w:pPr>
                    <w:jc w:val="center"/>
                    <w:rPr>
                      <w:b/>
                    </w:rPr>
                  </w:pPr>
                </w:p>
                <w:p w:rsidR="00E10D7F" w:rsidRDefault="00E10D7F" w:rsidP="00E10D7F">
                  <w:pPr>
                    <w:jc w:val="center"/>
                    <w:rPr>
                      <w:b/>
                    </w:rPr>
                  </w:pPr>
                </w:p>
                <w:p w:rsidR="00E10D7F" w:rsidRDefault="00E10D7F" w:rsidP="00E10D7F">
                  <w:pPr>
                    <w:jc w:val="center"/>
                    <w:rPr>
                      <w:b/>
                    </w:rPr>
                  </w:pPr>
                  <w:r w:rsidRPr="008B68B5">
                    <w:rPr>
                      <w:b/>
                    </w:rPr>
                    <w:t>CANCO</w:t>
                  </w:r>
                </w:p>
              </w:txbxContent>
            </v:textbox>
          </v:rect>
        </w:pict>
      </w:r>
    </w:p>
    <w:p w:rsidR="00E10D7F" w:rsidRPr="00FC020E" w:rsidRDefault="00E10D7F" w:rsidP="00E10D7F">
      <w:pPr>
        <w:pStyle w:val="BodyText"/>
      </w:pPr>
      <w:r>
        <w:rPr>
          <w:noProof/>
        </w:rPr>
        <w:pict>
          <v:shape id="_x0000_s1041" type="#_x0000_t32" style="position:absolute;left:0;text-align:left;margin-left:278.6pt;margin-top:11.15pt;width:83.25pt;height:0;z-index:251675648" o:connectortype="straight">
            <v:stroke endarrow="block"/>
          </v:shape>
        </w:pict>
      </w:r>
      <w:r>
        <w:rPr>
          <w:noProof/>
        </w:rPr>
        <w:pict>
          <v:shape id="_x0000_s1040" type="#_x0000_t202" style="position:absolute;left:0;text-align:left;margin-left:97.1pt;margin-top:8.9pt;width:83.25pt;height:15pt;z-index:251674624" filled="f" stroked="f">
            <v:textbox style="mso-next-textbox:#_x0000_s1040">
              <w:txbxContent>
                <w:p w:rsidR="00E10D7F" w:rsidRDefault="00E10D7F" w:rsidP="00E10D7F">
                  <w:pPr>
                    <w:jc w:val="center"/>
                    <w:rPr>
                      <w:sz w:val="18"/>
                      <w:szCs w:val="18"/>
                    </w:rPr>
                  </w:pPr>
                  <w:r>
                    <w:rPr>
                      <w:sz w:val="18"/>
                      <w:szCs w:val="18"/>
                    </w:rPr>
                    <w:t>Other Chemicals</w:t>
                  </w:r>
                </w:p>
              </w:txbxContent>
            </v:textbox>
          </v:shape>
        </w:pict>
      </w:r>
      <w:r>
        <w:rPr>
          <w:noProof/>
        </w:rPr>
        <w:pict>
          <v:shape id="_x0000_s1038" type="#_x0000_t32" style="position:absolute;left:0;text-align:left;margin-left:97.1pt;margin-top:.65pt;width:83.25pt;height:0;z-index:251672576" o:connectortype="straight">
            <v:stroke endarrow="block"/>
          </v:shape>
        </w:pict>
      </w:r>
    </w:p>
    <w:p w:rsidR="00240E10" w:rsidRDefault="00240E10"/>
    <w:sectPr w:rsidR="00240E10" w:rsidSect="00331030">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D7F" w:rsidRDefault="00E10D7F" w:rsidP="00E10D7F">
      <w:r>
        <w:separator/>
      </w:r>
    </w:p>
  </w:endnote>
  <w:endnote w:type="continuationSeparator" w:id="0">
    <w:p w:rsidR="00E10D7F" w:rsidRDefault="00E10D7F" w:rsidP="00E10D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9999999">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ZapfHumnst BT">
    <w:altName w:val="Lucida Sans Unicode"/>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Univers 45 Light">
    <w:panose1 w:val="00000000000000000000"/>
    <w:charset w:val="00"/>
    <w:family w:val="auto"/>
    <w:pitch w:val="variable"/>
    <w:sig w:usb0="8000002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imes New Roman Bold">
    <w:panose1 w:val="020208030705050203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D7F" w:rsidRDefault="00E10D7F">
    <w:pPr>
      <w:pStyle w:val="Footer"/>
      <w:framePr w:hSpace="181" w:wrap="auto" w:vAnchor="text" w:hAnchor="text" w:xAlign="right" w:y="1"/>
    </w:pPr>
    <w:r>
      <w:rPr>
        <w:rStyle w:val="PageNumber"/>
      </w:rPr>
      <w:fldChar w:fldCharType="begin"/>
    </w:r>
    <w:r>
      <w:rPr>
        <w:rStyle w:val="PageNumber"/>
      </w:rPr>
      <w:instrText xml:space="preserve"> PAGE </w:instrText>
    </w:r>
    <w:r>
      <w:rPr>
        <w:rStyle w:val="PageNumber"/>
      </w:rPr>
      <w:fldChar w:fldCharType="separate"/>
    </w:r>
    <w:r w:rsidR="006144C0">
      <w:rPr>
        <w:rStyle w:val="PageNumber"/>
        <w:noProof/>
      </w:rPr>
      <w:t>i</w:t>
    </w:r>
    <w:r>
      <w:rPr>
        <w:rStyle w:val="PageNumber"/>
      </w:rPr>
      <w:fldChar w:fldCharType="end"/>
    </w:r>
  </w:p>
  <w:p w:rsidR="00E10D7F" w:rsidRDefault="00E10D7F" w:rsidP="00E10D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D7F" w:rsidRDefault="00E10D7F" w:rsidP="00E10D7F">
      <w:r>
        <w:separator/>
      </w:r>
    </w:p>
  </w:footnote>
  <w:footnote w:type="continuationSeparator" w:id="0">
    <w:p w:rsidR="00E10D7F" w:rsidRDefault="00E10D7F" w:rsidP="00E10D7F">
      <w:r>
        <w:continuationSeparator/>
      </w:r>
    </w:p>
  </w:footnote>
  <w:footnote w:id="1">
    <w:p w:rsidR="00E10D7F" w:rsidRDefault="00E10D7F" w:rsidP="00E10D7F">
      <w:pPr>
        <w:autoSpaceDE w:val="0"/>
        <w:autoSpaceDN w:val="0"/>
        <w:jc w:val="both"/>
      </w:pPr>
      <w:r>
        <w:rPr>
          <w:rStyle w:val="FootnoteReference"/>
          <w:sz w:val="18"/>
          <w:szCs w:val="18"/>
        </w:rPr>
        <w:footnoteRef/>
      </w:r>
      <w:r>
        <w:rPr>
          <w:sz w:val="18"/>
          <w:szCs w:val="18"/>
        </w:rPr>
        <w:t xml:space="preserve"> This engagement is intended to assist the Company in gathering certain information for purposes of complying with the transfer pricing documentation requirements of IRC Section 6662(e) and the associated regulations.  This engagement is not intended to provide </w:t>
      </w:r>
      <w:r>
        <w:rPr>
          <w:i/>
          <w:iCs/>
          <w:sz w:val="18"/>
          <w:szCs w:val="18"/>
        </w:rPr>
        <w:t>assurance</w:t>
      </w:r>
      <w:r>
        <w:rPr>
          <w:sz w:val="18"/>
          <w:szCs w:val="18"/>
        </w:rPr>
        <w:t xml:space="preserve"> that the Company’s transfer prices over the tested period will withstand scrutiny by the Internal Revenue Service (“IRS”) or any other tax authority.  In the event of a transfer pricing adjustment by the IRS or any other tax authority, KPMG can provide no guarantee that a tax authority will not assess penalties. </w:t>
      </w:r>
    </w:p>
  </w:footnote>
  <w:footnote w:id="2">
    <w:p w:rsidR="00E10D7F" w:rsidRDefault="00E10D7F" w:rsidP="00E10D7F">
      <w:pPr>
        <w:pStyle w:val="FootnoteText"/>
        <w:jc w:val="both"/>
      </w:pPr>
      <w:r>
        <w:rPr>
          <w:rStyle w:val="FootnoteReference"/>
        </w:rPr>
        <w:footnoteRef/>
      </w:r>
      <w:r>
        <w:t xml:space="preserve"> </w:t>
      </w:r>
      <w:r w:rsidRPr="00FC020E">
        <w:t xml:space="preserve">The tested party </w:t>
      </w:r>
      <w:r>
        <w:t>is one of the controlled entities’ most narrowly definable segment that includes the intercompany transaction.  It is</w:t>
      </w:r>
      <w:r w:rsidRPr="00FC020E">
        <w:t xml:space="preserve"> the entity </w:t>
      </w:r>
      <w:r>
        <w:t xml:space="preserve">or business segment </w:t>
      </w:r>
      <w:r w:rsidRPr="00FC020E">
        <w:t>whose results are most reliably compared to the financial results of uncontrolled taxpayers</w:t>
      </w:r>
      <w:r>
        <w:t>.</w:t>
      </w:r>
    </w:p>
  </w:footnote>
  <w:footnote w:id="3">
    <w:p w:rsidR="00E10D7F" w:rsidRDefault="00E10D7F" w:rsidP="00E10D7F">
      <w:pPr>
        <w:pStyle w:val="FootnoteText"/>
        <w:jc w:val="both"/>
      </w:pPr>
      <w:r>
        <w:rPr>
          <w:rStyle w:val="FootnoteReference"/>
        </w:rPr>
        <w:footnoteRef/>
      </w:r>
      <w:r>
        <w:t xml:space="preserve"> OM or operating margin is defined as the ratio of operating profits to revenues.</w:t>
      </w:r>
    </w:p>
  </w:footnote>
  <w:footnote w:id="4">
    <w:p w:rsidR="00E10D7F" w:rsidRDefault="00E10D7F" w:rsidP="00E10D7F">
      <w:pPr>
        <w:pStyle w:val="FootnoteText"/>
        <w:jc w:val="both"/>
      </w:pPr>
      <w:r>
        <w:rPr>
          <w:rStyle w:val="FootnoteReference"/>
        </w:rPr>
        <w:footnoteRef/>
      </w:r>
      <w:r>
        <w:t xml:space="preserve"> This transfer pricing documentation study is not sufficient in itself for penalty protection under </w:t>
      </w:r>
      <w:r>
        <w:rPr>
          <w:szCs w:val="18"/>
        </w:rPr>
        <w:t>§</w:t>
      </w:r>
      <w:r>
        <w:t xml:space="preserve">6662.  The Company must have all ten principal of the documents that </w:t>
      </w:r>
      <w:r>
        <w:rPr>
          <w:szCs w:val="18"/>
        </w:rPr>
        <w:t>§</w:t>
      </w:r>
      <w:r>
        <w:t xml:space="preserve">6662 requires, as Appendix </w:t>
      </w:r>
      <w:r>
        <w:fldChar w:fldCharType="begin"/>
      </w:r>
      <w:r>
        <w:instrText xml:space="preserve"> REF _Ref326395068 \r \h </w:instrText>
      </w:r>
      <w:r>
        <w:fldChar w:fldCharType="separate"/>
      </w:r>
      <w:r>
        <w:t>A</w:t>
      </w:r>
      <w:r>
        <w:fldChar w:fldCharType="end"/>
      </w:r>
      <w:r>
        <w:t xml:space="preserve"> details, along with supporting documents for this analysis in its work papers.</w:t>
      </w:r>
    </w:p>
  </w:footnote>
  <w:footnote w:id="5">
    <w:p w:rsidR="00E10D7F" w:rsidRDefault="00E10D7F" w:rsidP="00E10D7F">
      <w:pPr>
        <w:pStyle w:val="FootnoteText"/>
        <w:jc w:val="both"/>
      </w:pPr>
      <w:r>
        <w:rPr>
          <w:rStyle w:val="FootnoteReference"/>
        </w:rPr>
        <w:footnoteRef/>
      </w:r>
      <w:r>
        <w:t xml:space="preserve"> KPMG understands that USCO maintains a full organization chart internally.  Appendix </w:t>
      </w:r>
      <w:r>
        <w:fldChar w:fldCharType="begin"/>
      </w:r>
      <w:r>
        <w:instrText xml:space="preserve"> REF _Ref326395341 \r \h </w:instrText>
      </w:r>
      <w:r>
        <w:fldChar w:fldCharType="separate"/>
      </w:r>
      <w:r>
        <w:t>A</w:t>
      </w:r>
      <w:r>
        <w:fldChar w:fldCharType="end"/>
      </w:r>
      <w:r>
        <w:t xml:space="preserve"> provides further detail.</w:t>
      </w:r>
    </w:p>
  </w:footnote>
  <w:footnote w:id="6">
    <w:p w:rsidR="00E10D7F" w:rsidRDefault="00E10D7F" w:rsidP="00E10D7F">
      <w:pPr>
        <w:pStyle w:val="FootnoteText"/>
        <w:jc w:val="both"/>
      </w:pPr>
      <w:r>
        <w:rPr>
          <w:rStyle w:val="FootnoteReference"/>
        </w:rPr>
        <w:footnoteRef/>
      </w:r>
      <w:r>
        <w:t xml:space="preserve"> Appendix X contains further detail related to the intercompany agreements governing this transaction.</w:t>
      </w:r>
    </w:p>
  </w:footnote>
  <w:footnote w:id="7">
    <w:p w:rsidR="00E10D7F" w:rsidRDefault="00E10D7F" w:rsidP="00E10D7F">
      <w:pPr>
        <w:pStyle w:val="FootnoteText"/>
        <w:jc w:val="both"/>
      </w:pPr>
      <w:r>
        <w:rPr>
          <w:rStyle w:val="FootnoteReference"/>
        </w:rPr>
        <w:footnoteRef/>
      </w:r>
      <w:r>
        <w:t xml:space="preserve"> Appendix X contains further detail related to the intercompany agreements governing this transaction.</w:t>
      </w:r>
    </w:p>
  </w:footnote>
  <w:footnote w:id="8">
    <w:p w:rsidR="00E10D7F" w:rsidRDefault="00E10D7F" w:rsidP="00E10D7F">
      <w:pPr>
        <w:pStyle w:val="FootnoteText"/>
        <w:jc w:val="both"/>
      </w:pPr>
      <w:r>
        <w:rPr>
          <w:rStyle w:val="FootnoteReference"/>
        </w:rPr>
        <w:footnoteRef/>
      </w:r>
      <w:r>
        <w:t xml:space="preserve"> In addition to the sales to GERCO, USCO also sold $1,498 of polystyrene to an affiliate in Asia.  The Company has represented that these sales were made at market prices.  KPMG does not test the arm’s-length nature of this transaction.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D7F" w:rsidRDefault="00E10D7F">
    <w:pPr>
      <w:pStyle w:val="Header"/>
      <w:tabs>
        <w:tab w:val="left" w:pos="284"/>
        <w:tab w:val="right" w:pos="8789"/>
      </w:tabs>
    </w:pPr>
    <w:r>
      <w:rPr>
        <w:noProof/>
      </w:rPr>
      <w:drawing>
        <wp:anchor distT="0" distB="0" distL="118745" distR="118745" simplePos="0" relativeHeight="251659264" behindDoc="0" locked="0" layoutInCell="0" allowOverlap="1">
          <wp:simplePos x="0" y="0"/>
          <wp:positionH relativeFrom="margin">
            <wp:posOffset>238125</wp:posOffset>
          </wp:positionH>
          <wp:positionV relativeFrom="page">
            <wp:posOffset>450850</wp:posOffset>
          </wp:positionV>
          <wp:extent cx="1202690" cy="486410"/>
          <wp:effectExtent l="19050" t="0" r="0" b="0"/>
          <wp:wrapSquare wrapText="bothSides"/>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srcRect/>
                  <a:stretch>
                    <a:fillRect/>
                  </a:stretch>
                </pic:blipFill>
                <pic:spPr bwMode="auto">
                  <a:xfrm>
                    <a:off x="0" y="0"/>
                    <a:ext cx="1202690" cy="486410"/>
                  </a:xfrm>
                  <a:prstGeom prst="rect">
                    <a:avLst/>
                  </a:prstGeom>
                  <a:noFill/>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1" w:type="dxa"/>
        <w:right w:w="71" w:type="dxa"/>
      </w:tblCellMar>
      <w:tblLook w:val="0000"/>
    </w:tblPr>
    <w:tblGrid>
      <w:gridCol w:w="6418"/>
    </w:tblGrid>
    <w:tr w:rsidR="00E10D7F" w:rsidTr="00E10D7F">
      <w:trPr>
        <w:trHeight w:hRule="exact" w:val="220"/>
      </w:trPr>
      <w:tc>
        <w:tcPr>
          <w:tcW w:w="6418" w:type="dxa"/>
        </w:tcPr>
        <w:p w:rsidR="00E10D7F" w:rsidRPr="00D37AE0" w:rsidRDefault="00E10D7F">
          <w:pPr>
            <w:pStyle w:val="Header"/>
            <w:framePr w:hSpace="181" w:wrap="auto" w:vAnchor="text" w:hAnchor="text" w:xAlign="right" w:y="1"/>
            <w:rPr>
              <w:b/>
              <w:szCs w:val="18"/>
            </w:rPr>
          </w:pPr>
          <w:r w:rsidRPr="00D37AE0">
            <w:rPr>
              <w:b/>
              <w:szCs w:val="18"/>
            </w:rPr>
            <w:fldChar w:fldCharType="begin"/>
          </w:r>
          <w:r w:rsidRPr="00D37AE0">
            <w:rPr>
              <w:b/>
              <w:szCs w:val="18"/>
            </w:rPr>
            <w:instrText xml:space="preserve"> DocProperty KISClient \* charformat </w:instrText>
          </w:r>
          <w:r w:rsidRPr="00D37AE0">
            <w:rPr>
              <w:b/>
              <w:szCs w:val="18"/>
            </w:rPr>
            <w:fldChar w:fldCharType="separate"/>
          </w:r>
          <w:r>
            <w:rPr>
              <w:b/>
              <w:szCs w:val="18"/>
            </w:rPr>
            <w:t>Company X, Inc.</w:t>
          </w:r>
          <w:r w:rsidRPr="00D37AE0">
            <w:rPr>
              <w:b/>
              <w:szCs w:val="18"/>
            </w:rPr>
            <w:fldChar w:fldCharType="end"/>
          </w:r>
        </w:p>
      </w:tc>
    </w:tr>
    <w:tr w:rsidR="00E10D7F" w:rsidTr="00E10D7F">
      <w:trPr>
        <w:trHeight w:hRule="exact" w:val="225"/>
      </w:trPr>
      <w:tc>
        <w:tcPr>
          <w:tcW w:w="6418" w:type="dxa"/>
        </w:tcPr>
        <w:p w:rsidR="00E10D7F" w:rsidRPr="00D37AE0" w:rsidRDefault="00E10D7F" w:rsidP="00E10D7F">
          <w:pPr>
            <w:pStyle w:val="Header"/>
            <w:framePr w:hSpace="181" w:wrap="auto" w:vAnchor="text" w:hAnchor="text" w:xAlign="right" w:y="1"/>
            <w:rPr>
              <w:szCs w:val="18"/>
            </w:rPr>
          </w:pPr>
          <w:fldSimple w:instr=" DOCPROPERTY  KISSubject ">
            <w:r>
              <w:t>U.S. Transfer Pricing Documentation for the Taxable Year Ended December 31, 2010</w:t>
            </w:r>
          </w:fldSimple>
        </w:p>
      </w:tc>
    </w:tr>
    <w:tr w:rsidR="00E10D7F" w:rsidDel="009B183D" w:rsidTr="00E10D7F">
      <w:trPr>
        <w:trHeight w:val="550"/>
      </w:trPr>
      <w:tc>
        <w:tcPr>
          <w:tcW w:w="6418" w:type="dxa"/>
        </w:tcPr>
        <w:p w:rsidR="00E10D7F" w:rsidRDefault="00E10D7F" w:rsidP="00E10D7F">
          <w:pPr>
            <w:pStyle w:val="zreportaddinfo"/>
            <w:framePr w:hSpace="181" w:wrap="auto" w:vAnchor="text" w:hAnchor="text" w:xAlign="right" w:y="1"/>
            <w:jc w:val="right"/>
          </w:pPr>
          <w:r>
            <w:rPr>
              <w:sz w:val="18"/>
              <w:szCs w:val="18"/>
            </w:rPr>
            <w:t>Global Transfer Pricing Services</w:t>
          </w:r>
        </w:p>
        <w:p w:rsidR="00E10D7F" w:rsidRPr="00D37AE0" w:rsidRDefault="00E10D7F" w:rsidP="00E10D7F">
          <w:pPr>
            <w:pStyle w:val="zreportaddinfo"/>
            <w:framePr w:hSpace="181" w:wrap="auto" w:vAnchor="text" w:hAnchor="text" w:xAlign="right" w:y="1"/>
            <w:jc w:val="right"/>
            <w:rPr>
              <w:sz w:val="18"/>
              <w:szCs w:val="18"/>
            </w:rPr>
          </w:pPr>
          <w:r w:rsidRPr="00D37AE0">
            <w:rPr>
              <w:sz w:val="18"/>
              <w:szCs w:val="18"/>
            </w:rPr>
            <w:fldChar w:fldCharType="begin"/>
          </w:r>
          <w:r w:rsidRPr="00D37AE0">
            <w:rPr>
              <w:sz w:val="18"/>
              <w:szCs w:val="18"/>
            </w:rPr>
            <w:instrText xml:space="preserve"> DATE \@ "MMMM d, yyyy" </w:instrText>
          </w:r>
          <w:r w:rsidRPr="00D37AE0">
            <w:rPr>
              <w:sz w:val="18"/>
              <w:szCs w:val="18"/>
            </w:rPr>
            <w:fldChar w:fldCharType="separate"/>
          </w:r>
          <w:r>
            <w:rPr>
              <w:sz w:val="18"/>
              <w:szCs w:val="18"/>
            </w:rPr>
            <w:t>April 10, 2014</w:t>
          </w:r>
          <w:r w:rsidRPr="00D37AE0">
            <w:rPr>
              <w:sz w:val="18"/>
              <w:szCs w:val="18"/>
            </w:rPr>
            <w:fldChar w:fldCharType="end"/>
          </w:r>
        </w:p>
      </w:tc>
    </w:tr>
  </w:tbl>
  <w:p w:rsidR="00E10D7F" w:rsidRDefault="00E10D7F">
    <w:pPr>
      <w:pStyle w:val="Header"/>
    </w:pPr>
    <w:r>
      <w:rPr>
        <w:noProof/>
      </w:rPr>
      <w:drawing>
        <wp:anchor distT="0" distB="0" distL="118745" distR="118745" simplePos="0" relativeHeight="251660288" behindDoc="0" locked="0" layoutInCell="1" allowOverlap="1">
          <wp:simplePos x="0" y="0"/>
          <wp:positionH relativeFrom="margin">
            <wp:posOffset>27940</wp:posOffset>
          </wp:positionH>
          <wp:positionV relativeFrom="page">
            <wp:posOffset>474980</wp:posOffset>
          </wp:positionV>
          <wp:extent cx="669290" cy="260985"/>
          <wp:effectExtent l="19050" t="0" r="0" b="0"/>
          <wp:wrapSquare wrapText="bothSides"/>
          <wp:docPr id="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srcRect/>
                  <a:stretch>
                    <a:fillRect/>
                  </a:stretch>
                </pic:blipFill>
                <pic:spPr bwMode="auto">
                  <a:xfrm>
                    <a:off x="0" y="0"/>
                    <a:ext cx="669290" cy="260985"/>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41A5"/>
    <w:multiLevelType w:val="singleLevel"/>
    <w:tmpl w:val="18ACF70A"/>
    <w:lvl w:ilvl="0">
      <w:start w:val="1"/>
      <w:numFmt w:val="bullet"/>
      <w:lvlText w:val=""/>
      <w:lvlJc w:val="left"/>
      <w:pPr>
        <w:tabs>
          <w:tab w:val="num" w:pos="340"/>
        </w:tabs>
        <w:ind w:left="340" w:hanging="340"/>
      </w:pPr>
      <w:rPr>
        <w:rFonts w:ascii="Symbol" w:hAnsi="Symbol" w:hint="default"/>
        <w:color w:val="auto"/>
        <w:sz w:val="22"/>
      </w:rPr>
    </w:lvl>
  </w:abstractNum>
  <w:abstractNum w:abstractNumId="1">
    <w:nsid w:val="00D92334"/>
    <w:multiLevelType w:val="hybridMultilevel"/>
    <w:tmpl w:val="8E40D5F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AD6666"/>
    <w:multiLevelType w:val="hybridMultilevel"/>
    <w:tmpl w:val="3AA08E48"/>
    <w:lvl w:ilvl="0" w:tplc="425C52CE">
      <w:start w:val="1"/>
      <w:numFmt w:val="bullet"/>
      <w:pStyle w:val="ListBulletChar"/>
      <w:lvlText w:val=""/>
      <w:lvlJc w:val="left"/>
      <w:pPr>
        <w:tabs>
          <w:tab w:val="num" w:pos="340"/>
        </w:tabs>
        <w:ind w:left="340" w:hanging="340"/>
      </w:pPr>
      <w:rPr>
        <w:rFonts w:ascii="Symbol" w:hAnsi="Symbol" w:hint="default"/>
        <w:color w:val="auto"/>
        <w:sz w:val="22"/>
      </w:rPr>
    </w:lvl>
    <w:lvl w:ilvl="1" w:tplc="8EE090FA">
      <w:start w:val="1"/>
      <w:numFmt w:val="bullet"/>
      <w:lvlText w:val="o"/>
      <w:lvlJc w:val="left"/>
      <w:pPr>
        <w:tabs>
          <w:tab w:val="num" w:pos="1440"/>
        </w:tabs>
        <w:ind w:left="1440" w:hanging="360"/>
      </w:pPr>
      <w:rPr>
        <w:rFonts w:ascii="Courier New" w:hAnsi="Courier New" w:hint="default"/>
        <w:b w:val="0"/>
        <w:i w:val="0"/>
        <w:sz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54141EB"/>
    <w:multiLevelType w:val="multilevel"/>
    <w:tmpl w:val="45C2AD68"/>
    <w:lvl w:ilvl="0">
      <w:start w:val="1"/>
      <w:numFmt w:val="lowerLetter"/>
      <w:lvlText w:val="%1."/>
      <w:lvlJc w:val="left"/>
      <w:pPr>
        <w:ind w:left="360" w:hanging="360"/>
      </w:pPr>
      <w:rPr>
        <w:rFonts w:hint="default"/>
        <w:color w:val="auto"/>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83806A3"/>
    <w:multiLevelType w:val="hybridMultilevel"/>
    <w:tmpl w:val="827C76F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nsid w:val="0AA1007E"/>
    <w:multiLevelType w:val="hybridMultilevel"/>
    <w:tmpl w:val="19483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DE1B5A"/>
    <w:multiLevelType w:val="multilevel"/>
    <w:tmpl w:val="F2C4EB94"/>
    <w:lvl w:ilvl="0">
      <w:start w:val="1"/>
      <w:numFmt w:val="decimal"/>
      <w:pStyle w:val="DocumentMap"/>
      <w:lvlText w:val="%1)"/>
      <w:lvlJc w:val="left"/>
      <w:pPr>
        <w:ind w:left="360" w:hanging="360"/>
      </w:pPr>
      <w:rPr>
        <w:rFonts w:hint="default"/>
        <w:color w:val="auto"/>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3915B27"/>
    <w:multiLevelType w:val="hybridMultilevel"/>
    <w:tmpl w:val="EDA2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8D54FD"/>
    <w:multiLevelType w:val="hybridMultilevel"/>
    <w:tmpl w:val="54FE059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857641A"/>
    <w:multiLevelType w:val="hybridMultilevel"/>
    <w:tmpl w:val="B866B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E0C69B0"/>
    <w:multiLevelType w:val="hybridMultilevel"/>
    <w:tmpl w:val="B7C4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DB176A"/>
    <w:multiLevelType w:val="hybridMultilevel"/>
    <w:tmpl w:val="E0F00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E76AFE"/>
    <w:multiLevelType w:val="hybridMultilevel"/>
    <w:tmpl w:val="D5A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592493"/>
    <w:multiLevelType w:val="singleLevel"/>
    <w:tmpl w:val="E3525B20"/>
    <w:lvl w:ilvl="0">
      <w:start w:val="1"/>
      <w:numFmt w:val="bullet"/>
      <w:lvlText w:val=""/>
      <w:lvlJc w:val="left"/>
      <w:pPr>
        <w:tabs>
          <w:tab w:val="num" w:pos="340"/>
        </w:tabs>
        <w:ind w:left="340" w:hanging="340"/>
      </w:pPr>
      <w:rPr>
        <w:rFonts w:ascii="Symbol" w:hAnsi="Symbol" w:hint="default"/>
        <w:color w:val="auto"/>
        <w:sz w:val="22"/>
      </w:rPr>
    </w:lvl>
  </w:abstractNum>
  <w:abstractNum w:abstractNumId="14">
    <w:nsid w:val="2FBE4623"/>
    <w:multiLevelType w:val="hybridMultilevel"/>
    <w:tmpl w:val="448E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57A39"/>
    <w:multiLevelType w:val="hybridMultilevel"/>
    <w:tmpl w:val="7994976E"/>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6">
    <w:nsid w:val="3C3B60EA"/>
    <w:multiLevelType w:val="multilevel"/>
    <w:tmpl w:val="95E86DFA"/>
    <w:lvl w:ilvl="0">
      <w:start w:val="1"/>
      <w:numFmt w:val="decimal"/>
      <w:pStyle w:val="Appendix2Char"/>
      <w:lvlText w:val="%1"/>
      <w:lvlJc w:val="left"/>
      <w:pPr>
        <w:tabs>
          <w:tab w:val="num" w:pos="964"/>
        </w:tabs>
        <w:ind w:hanging="964"/>
      </w:pPr>
      <w:rPr>
        <w:rFonts w:cs="Times New Roman"/>
      </w:rPr>
    </w:lvl>
    <w:lvl w:ilvl="1">
      <w:start w:val="1"/>
      <w:numFmt w:val="decimal"/>
      <w:pStyle w:val="Heading4"/>
      <w:lvlText w:val="%1.%2"/>
      <w:lvlJc w:val="left"/>
      <w:pPr>
        <w:tabs>
          <w:tab w:val="num" w:pos="964"/>
        </w:tabs>
        <w:ind w:left="964" w:hanging="964"/>
      </w:pPr>
      <w:rPr>
        <w:rFonts w:cs="Times New Roman"/>
      </w:rPr>
    </w:lvl>
    <w:lvl w:ilvl="2">
      <w:start w:val="1"/>
      <w:numFmt w:val="decimal"/>
      <w:pStyle w:val="BulletChar1"/>
      <w:lvlText w:val="%1.%2.%3"/>
      <w:lvlJc w:val="left"/>
      <w:pPr>
        <w:tabs>
          <w:tab w:val="num" w:pos="0"/>
        </w:tabs>
        <w:ind w:hanging="964"/>
      </w:pPr>
      <w:rPr>
        <w:rFonts w:cs="Times New Roman"/>
      </w:rPr>
    </w:lvl>
    <w:lvl w:ilvl="3">
      <w:start w:val="1"/>
      <w:numFmt w:val="decimal"/>
      <w:pStyle w:val="BulletChar"/>
      <w:lvlText w:val="%1.%2.%3.%4"/>
      <w:lvlJc w:val="left"/>
      <w:pPr>
        <w:tabs>
          <w:tab w:val="num" w:pos="984"/>
        </w:tabs>
        <w:ind w:left="964" w:hanging="9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7">
    <w:nsid w:val="454A5ED4"/>
    <w:multiLevelType w:val="hybridMultilevel"/>
    <w:tmpl w:val="68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C796C"/>
    <w:multiLevelType w:val="hybridMultilevel"/>
    <w:tmpl w:val="F4783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2DA4D77"/>
    <w:multiLevelType w:val="hybridMultilevel"/>
    <w:tmpl w:val="30E65C5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64E2D09"/>
    <w:multiLevelType w:val="hybridMultilevel"/>
    <w:tmpl w:val="B89E0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52780F"/>
    <w:multiLevelType w:val="hybridMultilevel"/>
    <w:tmpl w:val="1B5CF0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42B225E"/>
    <w:multiLevelType w:val="hybridMultilevel"/>
    <w:tmpl w:val="5826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D96945"/>
    <w:multiLevelType w:val="hybridMultilevel"/>
    <w:tmpl w:val="7BA03A8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C4030FF"/>
    <w:multiLevelType w:val="singleLevel"/>
    <w:tmpl w:val="840C5D14"/>
    <w:lvl w:ilvl="0">
      <w:start w:val="1"/>
      <w:numFmt w:val="bullet"/>
      <w:pStyle w:val="ListBullet2"/>
      <w:lvlText w:val="-"/>
      <w:lvlJc w:val="left"/>
      <w:pPr>
        <w:tabs>
          <w:tab w:val="num" w:pos="680"/>
        </w:tabs>
        <w:ind w:left="680" w:hanging="340"/>
      </w:pPr>
      <w:rPr>
        <w:rFonts w:ascii="9999999" w:hAnsi="9999999" w:cs="Courier New" w:hint="default"/>
      </w:rPr>
    </w:lvl>
  </w:abstractNum>
  <w:abstractNum w:abstractNumId="25">
    <w:nsid w:val="71EE1892"/>
    <w:multiLevelType w:val="hybridMultilevel"/>
    <w:tmpl w:val="C366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E5F97"/>
    <w:multiLevelType w:val="multilevel"/>
    <w:tmpl w:val="3D3C9E22"/>
    <w:lvl w:ilvl="0">
      <w:start w:val="1"/>
      <w:numFmt w:val="upperLetter"/>
      <w:pStyle w:val="Heading3"/>
      <w:lvlText w:val="%1"/>
      <w:lvlJc w:val="left"/>
      <w:pPr>
        <w:tabs>
          <w:tab w:val="num" w:pos="964"/>
        </w:tabs>
        <w:ind w:left="964" w:hanging="964"/>
      </w:pPr>
      <w:rPr>
        <w:rFonts w:cs="Times New Roman"/>
      </w:rPr>
    </w:lvl>
    <w:lvl w:ilvl="1">
      <w:start w:val="1"/>
      <w:numFmt w:val="decimal"/>
      <w:pStyle w:val="BodyTextChar"/>
      <w:lvlText w:val="%1.%2"/>
      <w:lvlJc w:val="left"/>
      <w:pPr>
        <w:tabs>
          <w:tab w:val="num" w:pos="964"/>
        </w:tabs>
        <w:ind w:left="964" w:hanging="964"/>
      </w:pPr>
      <w:rPr>
        <w:rFonts w:cs="Times New Roman"/>
      </w:rPr>
    </w:lvl>
    <w:lvl w:ilvl="2">
      <w:start w:val="1"/>
      <w:numFmt w:val="decimal"/>
      <w:lvlText w:val="%1.%2.%3"/>
      <w:lvlJc w:val="left"/>
      <w:pPr>
        <w:tabs>
          <w:tab w:val="num" w:pos="964"/>
        </w:tabs>
        <w:ind w:left="964" w:hanging="964"/>
      </w:pPr>
      <w:rPr>
        <w:rFonts w:cs="Times New Roman"/>
      </w:rPr>
    </w:lvl>
    <w:lvl w:ilvl="3">
      <w:start w:val="1"/>
      <w:numFmt w:val="decimal"/>
      <w:lvlText w:val="%1.%2.%3.%4"/>
      <w:lvlJc w:val="left"/>
      <w:pPr>
        <w:tabs>
          <w:tab w:val="num" w:pos="0"/>
        </w:tabs>
        <w:ind w:hanging="964"/>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num w:numId="1">
    <w:abstractNumId w:val="24"/>
  </w:num>
  <w:num w:numId="2">
    <w:abstractNumId w:val="16"/>
  </w:num>
  <w:num w:numId="3">
    <w:abstractNumId w:val="26"/>
  </w:num>
  <w:num w:numId="4">
    <w:abstractNumId w:val="2"/>
  </w:num>
  <w:num w:numId="5">
    <w:abstractNumId w:val="13"/>
  </w:num>
  <w:num w:numId="6">
    <w:abstractNumId w:val="0"/>
  </w:num>
  <w:num w:numId="7">
    <w:abstractNumId w:val="15"/>
  </w:num>
  <w:num w:numId="8">
    <w:abstractNumId w:val="4"/>
  </w:num>
  <w:num w:numId="9">
    <w:abstractNumId w:val="6"/>
  </w:num>
  <w:num w:numId="10">
    <w:abstractNumId w:val="3"/>
  </w:num>
  <w:num w:numId="11">
    <w:abstractNumId w:val="23"/>
  </w:num>
  <w:num w:numId="12">
    <w:abstractNumId w:val="8"/>
  </w:num>
  <w:num w:numId="13">
    <w:abstractNumId w:val="1"/>
  </w:num>
  <w:num w:numId="14">
    <w:abstractNumId w:val="21"/>
  </w:num>
  <w:num w:numId="15">
    <w:abstractNumId w:val="12"/>
  </w:num>
  <w:num w:numId="16">
    <w:abstractNumId w:val="7"/>
  </w:num>
  <w:num w:numId="17">
    <w:abstractNumId w:val="18"/>
  </w:num>
  <w:num w:numId="18">
    <w:abstractNumId w:val="20"/>
  </w:num>
  <w:num w:numId="19">
    <w:abstractNumId w:val="11"/>
  </w:num>
  <w:num w:numId="20">
    <w:abstractNumId w:val="5"/>
  </w:num>
  <w:num w:numId="21">
    <w:abstractNumId w:val="14"/>
  </w:num>
  <w:num w:numId="22">
    <w:abstractNumId w:val="10"/>
  </w:num>
  <w:num w:numId="23">
    <w:abstractNumId w:val="22"/>
  </w:num>
  <w:num w:numId="24">
    <w:abstractNumId w:val="19"/>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25"/>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E10D7F"/>
    <w:rsid w:val="00056589"/>
    <w:rsid w:val="00082A29"/>
    <w:rsid w:val="00090358"/>
    <w:rsid w:val="0009091E"/>
    <w:rsid w:val="000B1F93"/>
    <w:rsid w:val="000F1103"/>
    <w:rsid w:val="001166AF"/>
    <w:rsid w:val="001360FC"/>
    <w:rsid w:val="001631EE"/>
    <w:rsid w:val="001B5E92"/>
    <w:rsid w:val="001F4833"/>
    <w:rsid w:val="00220972"/>
    <w:rsid w:val="00240E10"/>
    <w:rsid w:val="00242399"/>
    <w:rsid w:val="002653C1"/>
    <w:rsid w:val="002862C5"/>
    <w:rsid w:val="002905BD"/>
    <w:rsid w:val="002C2CD9"/>
    <w:rsid w:val="002E4D76"/>
    <w:rsid w:val="0030027E"/>
    <w:rsid w:val="00301415"/>
    <w:rsid w:val="00331030"/>
    <w:rsid w:val="00332DE0"/>
    <w:rsid w:val="003D48AF"/>
    <w:rsid w:val="003F38F3"/>
    <w:rsid w:val="004800BF"/>
    <w:rsid w:val="00497807"/>
    <w:rsid w:val="004B5C83"/>
    <w:rsid w:val="004C05E4"/>
    <w:rsid w:val="004F3CED"/>
    <w:rsid w:val="00537399"/>
    <w:rsid w:val="00555D2D"/>
    <w:rsid w:val="00587822"/>
    <w:rsid w:val="005C04BD"/>
    <w:rsid w:val="005E1DA8"/>
    <w:rsid w:val="005E42A8"/>
    <w:rsid w:val="00602C0D"/>
    <w:rsid w:val="006144C0"/>
    <w:rsid w:val="006249E7"/>
    <w:rsid w:val="00625AD6"/>
    <w:rsid w:val="00636869"/>
    <w:rsid w:val="006503DD"/>
    <w:rsid w:val="00655D1C"/>
    <w:rsid w:val="006578E1"/>
    <w:rsid w:val="00686CC1"/>
    <w:rsid w:val="006A62BB"/>
    <w:rsid w:val="006E20E4"/>
    <w:rsid w:val="00707F4C"/>
    <w:rsid w:val="00740DA9"/>
    <w:rsid w:val="007A25D9"/>
    <w:rsid w:val="007F13EB"/>
    <w:rsid w:val="008643B5"/>
    <w:rsid w:val="0088473E"/>
    <w:rsid w:val="00892A44"/>
    <w:rsid w:val="008B04CE"/>
    <w:rsid w:val="008D0A2C"/>
    <w:rsid w:val="008D1E4F"/>
    <w:rsid w:val="008D4A36"/>
    <w:rsid w:val="008F646D"/>
    <w:rsid w:val="008F7636"/>
    <w:rsid w:val="00946C5A"/>
    <w:rsid w:val="009B61C4"/>
    <w:rsid w:val="009D2E25"/>
    <w:rsid w:val="009D58BC"/>
    <w:rsid w:val="009D5C4A"/>
    <w:rsid w:val="009D66AC"/>
    <w:rsid w:val="009E75A1"/>
    <w:rsid w:val="00A057FF"/>
    <w:rsid w:val="00A115A1"/>
    <w:rsid w:val="00A1640E"/>
    <w:rsid w:val="00A2551C"/>
    <w:rsid w:val="00A25EDA"/>
    <w:rsid w:val="00A400D4"/>
    <w:rsid w:val="00A42224"/>
    <w:rsid w:val="00A83C37"/>
    <w:rsid w:val="00A85170"/>
    <w:rsid w:val="00A85268"/>
    <w:rsid w:val="00A960DD"/>
    <w:rsid w:val="00AC5FD0"/>
    <w:rsid w:val="00AF53D2"/>
    <w:rsid w:val="00B11348"/>
    <w:rsid w:val="00B44FE7"/>
    <w:rsid w:val="00B632D6"/>
    <w:rsid w:val="00B80D2B"/>
    <w:rsid w:val="00B914B9"/>
    <w:rsid w:val="00C438F9"/>
    <w:rsid w:val="00C67736"/>
    <w:rsid w:val="00C7196E"/>
    <w:rsid w:val="00C93DE7"/>
    <w:rsid w:val="00CA070A"/>
    <w:rsid w:val="00D2734D"/>
    <w:rsid w:val="00D37250"/>
    <w:rsid w:val="00D80787"/>
    <w:rsid w:val="00D81405"/>
    <w:rsid w:val="00DB4274"/>
    <w:rsid w:val="00DC16CD"/>
    <w:rsid w:val="00DD6DB9"/>
    <w:rsid w:val="00E10D7F"/>
    <w:rsid w:val="00E25727"/>
    <w:rsid w:val="00E4537E"/>
    <w:rsid w:val="00E576AE"/>
    <w:rsid w:val="00E612CE"/>
    <w:rsid w:val="00E90AE7"/>
    <w:rsid w:val="00EF34FB"/>
    <w:rsid w:val="00F23914"/>
    <w:rsid w:val="00F27984"/>
    <w:rsid w:val="00F50CC9"/>
    <w:rsid w:val="00F811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_x0000_s1034"/>
        <o:r id="V:Rule2" type="connector" idref="#_x0000_s1038"/>
        <o:r id="V:Rule3" type="connector" idref="#_x0000_s1031"/>
        <o:r id="V:Rule4" type="connector" idref="#_x0000_s1033"/>
        <o:r id="V:Rule5" type="connector" idref="#_x0000_s1041"/>
        <o:r id="V:Rule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E10D7F"/>
    <w:pPr>
      <w:spacing w:after="0" w:line="240" w:lineRule="auto"/>
    </w:pPr>
    <w:rPr>
      <w:rFonts w:ascii="Times New Roman" w:eastAsia="Times New Roman" w:hAnsi="Times New Roman" w:cs="Times New Roman"/>
      <w:szCs w:val="20"/>
    </w:rPr>
  </w:style>
  <w:style w:type="paragraph" w:styleId="Heading1">
    <w:name w:val="heading 1"/>
    <w:aliases w:val="h1 chapter heading,h1,A MAJOR/BOLD,1 Heading 1,DO NOT USE,Heading 1..."/>
    <w:basedOn w:val="Heading2"/>
    <w:next w:val="BodyText"/>
    <w:link w:val="Heading1Char"/>
    <w:qFormat/>
    <w:rsid w:val="00E10D7F"/>
    <w:pPr>
      <w:pageBreakBefore/>
      <w:tabs>
        <w:tab w:val="num" w:pos="0"/>
      </w:tabs>
      <w:spacing w:before="0" w:line="360" w:lineRule="exact"/>
      <w:ind w:left="0" w:hanging="360"/>
      <w:outlineLvl w:val="0"/>
    </w:pPr>
    <w:rPr>
      <w:sz w:val="32"/>
    </w:rPr>
  </w:style>
  <w:style w:type="paragraph" w:styleId="Heading2">
    <w:name w:val="heading 2"/>
    <w:aliases w:val="h2,h2 main heading,B Sub/Bold,A.B.C.,Heading2-bio,Memo 2nd Header,L..."/>
    <w:basedOn w:val="BodyText"/>
    <w:next w:val="BodyText"/>
    <w:link w:val="Heading2Char"/>
    <w:qFormat/>
    <w:rsid w:val="00E10D7F"/>
    <w:pPr>
      <w:keepNext/>
      <w:tabs>
        <w:tab w:val="num" w:pos="720"/>
        <w:tab w:val="num" w:pos="964"/>
      </w:tabs>
      <w:spacing w:before="400" w:after="0" w:line="320" w:lineRule="exact"/>
      <w:ind w:left="964" w:hanging="964"/>
      <w:jc w:val="left"/>
      <w:outlineLvl w:val="1"/>
    </w:pPr>
    <w:rPr>
      <w:b/>
      <w:sz w:val="28"/>
    </w:rPr>
  </w:style>
  <w:style w:type="paragraph" w:styleId="Heading30">
    <w:name w:val="heading 3"/>
    <w:aliases w:val="h3,h3 sub heading,C Sub-Sub/Italic,Level II for #'s,1.2.3.,Temp2,Le..."/>
    <w:basedOn w:val="Heading40"/>
    <w:next w:val="BodyText"/>
    <w:link w:val="Heading3Char"/>
    <w:qFormat/>
    <w:rsid w:val="00E10D7F"/>
    <w:pPr>
      <w:tabs>
        <w:tab w:val="num" w:pos="0"/>
      </w:tabs>
      <w:ind w:left="0" w:hanging="360"/>
      <w:outlineLvl w:val="2"/>
    </w:pPr>
    <w:rPr>
      <w:i w:val="0"/>
    </w:rPr>
  </w:style>
  <w:style w:type="paragraph" w:styleId="Heading40">
    <w:name w:val="heading 4"/>
    <w:aliases w:val="h4,a) b) c),Garbage 1,h4 sub sub heading,D Sub-Sub/Plain,Level III ..."/>
    <w:basedOn w:val="Heading5"/>
    <w:next w:val="BodyText"/>
    <w:link w:val="Heading4Char"/>
    <w:qFormat/>
    <w:rsid w:val="00E10D7F"/>
    <w:pPr>
      <w:tabs>
        <w:tab w:val="left" w:pos="0"/>
        <w:tab w:val="num" w:pos="720"/>
        <w:tab w:val="num" w:pos="984"/>
      </w:tabs>
      <w:spacing w:line="280" w:lineRule="exact"/>
      <w:ind w:left="964" w:hanging="964"/>
      <w:outlineLvl w:val="3"/>
    </w:pPr>
    <w:rPr>
      <w:b/>
      <w:sz w:val="24"/>
    </w:rPr>
  </w:style>
  <w:style w:type="paragraph" w:styleId="Heading5">
    <w:name w:val="heading 5"/>
    <w:basedOn w:val="BodyText"/>
    <w:next w:val="BodyText"/>
    <w:link w:val="Heading5Char"/>
    <w:uiPriority w:val="99"/>
    <w:qFormat/>
    <w:rsid w:val="00E10D7F"/>
    <w:pPr>
      <w:keepNext/>
      <w:spacing w:before="400" w:after="0" w:line="260" w:lineRule="exact"/>
      <w:jc w:val="left"/>
      <w:outlineLvl w:val="4"/>
    </w:pPr>
    <w:rPr>
      <w:i/>
    </w:rPr>
  </w:style>
  <w:style w:type="paragraph" w:styleId="Heading6">
    <w:name w:val="heading 6"/>
    <w:basedOn w:val="Normal"/>
    <w:next w:val="Normal"/>
    <w:link w:val="Heading6Char"/>
    <w:uiPriority w:val="99"/>
    <w:qFormat/>
    <w:rsid w:val="00E10D7F"/>
    <w:pPr>
      <w:outlineLvl w:val="5"/>
    </w:pPr>
  </w:style>
  <w:style w:type="paragraph" w:styleId="Heading7">
    <w:name w:val="heading 7"/>
    <w:basedOn w:val="Normal"/>
    <w:next w:val="Normal"/>
    <w:link w:val="Heading7Char"/>
    <w:uiPriority w:val="99"/>
    <w:qFormat/>
    <w:rsid w:val="00E10D7F"/>
    <w:pPr>
      <w:outlineLvl w:val="6"/>
    </w:pPr>
  </w:style>
  <w:style w:type="paragraph" w:styleId="Heading8">
    <w:name w:val="heading 8"/>
    <w:basedOn w:val="Normal"/>
    <w:next w:val="Normal"/>
    <w:link w:val="Heading8Char"/>
    <w:uiPriority w:val="99"/>
    <w:qFormat/>
    <w:rsid w:val="00E10D7F"/>
    <w:pPr>
      <w:outlineLvl w:val="7"/>
    </w:pPr>
  </w:style>
  <w:style w:type="paragraph" w:styleId="Heading9">
    <w:name w:val="heading 9"/>
    <w:basedOn w:val="Normal"/>
    <w:next w:val="Normal"/>
    <w:link w:val="Heading9Char"/>
    <w:uiPriority w:val="99"/>
    <w:qFormat/>
    <w:rsid w:val="00E10D7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0"/>
    <w:qFormat/>
    <w:rsid w:val="00E10D7F"/>
    <w:pPr>
      <w:spacing w:before="130" w:after="130"/>
      <w:jc w:val="both"/>
    </w:pPr>
  </w:style>
  <w:style w:type="character" w:customStyle="1" w:styleId="BodyTextChar0">
    <w:name w:val="Body Text Char"/>
    <w:basedOn w:val="DefaultParagraphFont"/>
    <w:link w:val="BodyText"/>
    <w:rsid w:val="00E10D7F"/>
    <w:rPr>
      <w:rFonts w:ascii="Times New Roman" w:eastAsia="Times New Roman" w:hAnsi="Times New Roman" w:cs="Times New Roman"/>
      <w:szCs w:val="20"/>
    </w:rPr>
  </w:style>
  <w:style w:type="character" w:customStyle="1" w:styleId="Heading2Char">
    <w:name w:val="Heading 2 Char"/>
    <w:aliases w:val="h2 Char,h2 main heading Char,B Sub/Bold Char,A.B.C. Char,Heading2-bio Char,Memo 2nd Header Char,L... Char"/>
    <w:basedOn w:val="DefaultParagraphFont"/>
    <w:link w:val="Heading2"/>
    <w:rsid w:val="00E10D7F"/>
    <w:rPr>
      <w:rFonts w:ascii="Times New Roman" w:eastAsia="Times New Roman" w:hAnsi="Times New Roman" w:cs="Times New Roman"/>
      <w:b/>
      <w:sz w:val="28"/>
      <w:szCs w:val="20"/>
    </w:rPr>
  </w:style>
  <w:style w:type="character" w:customStyle="1" w:styleId="Heading1Char">
    <w:name w:val="Heading 1 Char"/>
    <w:aliases w:val="h1 chapter heading Char,h1 Char,A MAJOR/BOLD Char,1 Heading 1 Char,DO NOT USE Char,Heading 1... Char"/>
    <w:basedOn w:val="DefaultParagraphFont"/>
    <w:link w:val="Heading1"/>
    <w:rsid w:val="00E10D7F"/>
    <w:rPr>
      <w:rFonts w:ascii="Times New Roman" w:eastAsia="Times New Roman" w:hAnsi="Times New Roman" w:cs="Times New Roman"/>
      <w:b/>
      <w:sz w:val="32"/>
      <w:szCs w:val="20"/>
    </w:rPr>
  </w:style>
  <w:style w:type="character" w:customStyle="1" w:styleId="Heading5Char">
    <w:name w:val="Heading 5 Char"/>
    <w:basedOn w:val="DefaultParagraphFont"/>
    <w:link w:val="Heading5"/>
    <w:uiPriority w:val="99"/>
    <w:rsid w:val="00E10D7F"/>
    <w:rPr>
      <w:rFonts w:ascii="Times New Roman" w:eastAsia="Times New Roman" w:hAnsi="Times New Roman" w:cs="Times New Roman"/>
      <w:i/>
      <w:szCs w:val="20"/>
    </w:rPr>
  </w:style>
  <w:style w:type="character" w:customStyle="1" w:styleId="Heading4Char">
    <w:name w:val="Heading 4 Char"/>
    <w:aliases w:val="h4 Char,a) b) c) Char,Garbage 1 Char,h4 sub sub heading Char,D Sub-Sub/Plain Char,Level III ... Char"/>
    <w:basedOn w:val="DefaultParagraphFont"/>
    <w:link w:val="Heading40"/>
    <w:rsid w:val="00E10D7F"/>
    <w:rPr>
      <w:rFonts w:ascii="Times New Roman" w:eastAsia="Times New Roman" w:hAnsi="Times New Roman" w:cs="Times New Roman"/>
      <w:b/>
      <w:i/>
      <w:sz w:val="24"/>
      <w:szCs w:val="20"/>
    </w:rPr>
  </w:style>
  <w:style w:type="character" w:customStyle="1" w:styleId="Heading3Char">
    <w:name w:val="Heading 3 Char"/>
    <w:aliases w:val="h3 Char,h3 sub heading Char,C Sub-Sub/Italic Char,Level II for #'s Char,1.2.3. Char,Temp2 Char,Le... Char"/>
    <w:basedOn w:val="DefaultParagraphFont"/>
    <w:link w:val="Heading30"/>
    <w:rsid w:val="00E10D7F"/>
    <w:rPr>
      <w:rFonts w:ascii="Times New Roman" w:eastAsia="Times New Roman" w:hAnsi="Times New Roman" w:cs="Times New Roman"/>
      <w:b/>
      <w:sz w:val="24"/>
      <w:szCs w:val="20"/>
    </w:rPr>
  </w:style>
  <w:style w:type="character" w:customStyle="1" w:styleId="Heading6Char">
    <w:name w:val="Heading 6 Char"/>
    <w:basedOn w:val="DefaultParagraphFont"/>
    <w:link w:val="Heading6"/>
    <w:uiPriority w:val="99"/>
    <w:rsid w:val="00E10D7F"/>
    <w:rPr>
      <w:rFonts w:ascii="Times New Roman" w:eastAsia="Times New Roman" w:hAnsi="Times New Roman" w:cs="Times New Roman"/>
      <w:szCs w:val="20"/>
    </w:rPr>
  </w:style>
  <w:style w:type="character" w:customStyle="1" w:styleId="Heading7Char">
    <w:name w:val="Heading 7 Char"/>
    <w:basedOn w:val="DefaultParagraphFont"/>
    <w:link w:val="Heading7"/>
    <w:uiPriority w:val="99"/>
    <w:rsid w:val="00E10D7F"/>
    <w:rPr>
      <w:rFonts w:ascii="Times New Roman" w:eastAsia="Times New Roman" w:hAnsi="Times New Roman" w:cs="Times New Roman"/>
      <w:szCs w:val="20"/>
    </w:rPr>
  </w:style>
  <w:style w:type="character" w:customStyle="1" w:styleId="Heading8Char">
    <w:name w:val="Heading 8 Char"/>
    <w:basedOn w:val="DefaultParagraphFont"/>
    <w:link w:val="Heading8"/>
    <w:uiPriority w:val="99"/>
    <w:rsid w:val="00E10D7F"/>
    <w:rPr>
      <w:rFonts w:ascii="Times New Roman" w:eastAsia="Times New Roman" w:hAnsi="Times New Roman" w:cs="Times New Roman"/>
      <w:szCs w:val="20"/>
    </w:rPr>
  </w:style>
  <w:style w:type="character" w:customStyle="1" w:styleId="Heading9Char">
    <w:name w:val="Heading 9 Char"/>
    <w:basedOn w:val="DefaultParagraphFont"/>
    <w:link w:val="Heading9"/>
    <w:uiPriority w:val="99"/>
    <w:rsid w:val="00E10D7F"/>
    <w:rPr>
      <w:rFonts w:ascii="Times New Roman" w:eastAsia="Times New Roman" w:hAnsi="Times New Roman" w:cs="Times New Roman"/>
      <w:szCs w:val="20"/>
    </w:rPr>
  </w:style>
  <w:style w:type="paragraph" w:styleId="BalloonText">
    <w:name w:val="Balloon Text"/>
    <w:basedOn w:val="Normal"/>
    <w:link w:val="BalloonTextChar"/>
    <w:uiPriority w:val="99"/>
    <w:semiHidden/>
    <w:rsid w:val="00E10D7F"/>
    <w:rPr>
      <w:rFonts w:ascii="Tahoma" w:hAnsi="Tahoma" w:cs="Tahoma"/>
      <w:sz w:val="16"/>
      <w:szCs w:val="16"/>
    </w:rPr>
  </w:style>
  <w:style w:type="character" w:customStyle="1" w:styleId="BalloonTextChar">
    <w:name w:val="Balloon Text Char"/>
    <w:basedOn w:val="DefaultParagraphFont"/>
    <w:link w:val="BalloonText"/>
    <w:uiPriority w:val="99"/>
    <w:semiHidden/>
    <w:rsid w:val="00E10D7F"/>
    <w:rPr>
      <w:rFonts w:ascii="Tahoma" w:eastAsia="Times New Roman" w:hAnsi="Tahoma" w:cs="Tahoma"/>
      <w:sz w:val="16"/>
      <w:szCs w:val="16"/>
    </w:rPr>
  </w:style>
  <w:style w:type="paragraph" w:styleId="TOC3">
    <w:name w:val="toc 3"/>
    <w:basedOn w:val="TOC2"/>
    <w:autoRedefine/>
    <w:uiPriority w:val="39"/>
    <w:rsid w:val="00E10D7F"/>
    <w:pPr>
      <w:tabs>
        <w:tab w:val="left" w:pos="1418"/>
      </w:tabs>
      <w:ind w:left="1418" w:hanging="1418"/>
    </w:pPr>
  </w:style>
  <w:style w:type="paragraph" w:styleId="TOC2">
    <w:name w:val="toc 2"/>
    <w:basedOn w:val="TOC1"/>
    <w:autoRedefine/>
    <w:uiPriority w:val="39"/>
    <w:rsid w:val="00E10D7F"/>
    <w:pPr>
      <w:spacing w:before="0"/>
    </w:pPr>
    <w:rPr>
      <w:sz w:val="24"/>
    </w:rPr>
  </w:style>
  <w:style w:type="paragraph" w:styleId="TOC1">
    <w:name w:val="toc 1"/>
    <w:basedOn w:val="Normal"/>
    <w:autoRedefine/>
    <w:uiPriority w:val="39"/>
    <w:rsid w:val="00E10D7F"/>
    <w:pPr>
      <w:tabs>
        <w:tab w:val="right" w:pos="8505"/>
      </w:tabs>
      <w:spacing w:before="260"/>
      <w:ind w:left="850" w:right="567" w:hanging="850"/>
    </w:pPr>
    <w:rPr>
      <w:sz w:val="28"/>
    </w:rPr>
  </w:style>
  <w:style w:type="paragraph" w:styleId="Footer">
    <w:name w:val="footer"/>
    <w:basedOn w:val="Normal"/>
    <w:link w:val="FooterChar"/>
    <w:rsid w:val="00E10D7F"/>
    <w:pPr>
      <w:tabs>
        <w:tab w:val="right" w:pos="8222"/>
      </w:tabs>
    </w:pPr>
    <w:rPr>
      <w:sz w:val="18"/>
    </w:rPr>
  </w:style>
  <w:style w:type="character" w:customStyle="1" w:styleId="FooterChar">
    <w:name w:val="Footer Char"/>
    <w:basedOn w:val="DefaultParagraphFont"/>
    <w:link w:val="Footer"/>
    <w:rsid w:val="00E10D7F"/>
    <w:rPr>
      <w:rFonts w:ascii="Times New Roman" w:eastAsia="Times New Roman" w:hAnsi="Times New Roman" w:cs="Times New Roman"/>
      <w:sz w:val="18"/>
      <w:szCs w:val="20"/>
    </w:rPr>
  </w:style>
  <w:style w:type="paragraph" w:styleId="Header">
    <w:name w:val="header"/>
    <w:aliases w:val="h"/>
    <w:basedOn w:val="Normal"/>
    <w:link w:val="HeaderChar"/>
    <w:uiPriority w:val="99"/>
    <w:rsid w:val="00E10D7F"/>
    <w:pPr>
      <w:spacing w:line="220" w:lineRule="atLeast"/>
      <w:jc w:val="right"/>
    </w:pPr>
    <w:rPr>
      <w:i/>
      <w:sz w:val="18"/>
    </w:rPr>
  </w:style>
  <w:style w:type="character" w:customStyle="1" w:styleId="HeaderChar">
    <w:name w:val="Header Char"/>
    <w:aliases w:val="h Char"/>
    <w:basedOn w:val="DefaultParagraphFont"/>
    <w:link w:val="Header"/>
    <w:uiPriority w:val="99"/>
    <w:rsid w:val="00E10D7F"/>
    <w:rPr>
      <w:rFonts w:ascii="Times New Roman" w:eastAsia="Times New Roman" w:hAnsi="Times New Roman" w:cs="Times New Roman"/>
      <w:i/>
      <w:sz w:val="18"/>
      <w:szCs w:val="20"/>
    </w:rPr>
  </w:style>
  <w:style w:type="paragraph" w:styleId="ListBullet">
    <w:name w:val="List Bullet"/>
    <w:basedOn w:val="BodyText"/>
    <w:link w:val="ListBulletChar"/>
    <w:uiPriority w:val="99"/>
    <w:rsid w:val="00E10D7F"/>
    <w:pPr>
      <w:numPr>
        <w:numId w:val="4"/>
      </w:numPr>
    </w:pPr>
  </w:style>
  <w:style w:type="character" w:customStyle="1" w:styleId="ListBulletChar">
    <w:name w:val="List Bullet Char"/>
    <w:basedOn w:val="BodyTextChar0"/>
    <w:link w:val="ListBullet"/>
    <w:uiPriority w:val="99"/>
    <w:rsid w:val="00E10D7F"/>
  </w:style>
  <w:style w:type="paragraph" w:styleId="ListBullet2">
    <w:name w:val="List Bullet 2"/>
    <w:basedOn w:val="ListBullet"/>
    <w:uiPriority w:val="99"/>
    <w:rsid w:val="00E10D7F"/>
    <w:pPr>
      <w:numPr>
        <w:numId w:val="1"/>
      </w:numPr>
    </w:pPr>
  </w:style>
  <w:style w:type="paragraph" w:customStyle="1" w:styleId="zcontents">
    <w:name w:val="zcontents"/>
    <w:basedOn w:val="Normal"/>
    <w:uiPriority w:val="99"/>
    <w:semiHidden/>
    <w:rsid w:val="00E10D7F"/>
    <w:pPr>
      <w:spacing w:after="260"/>
    </w:pPr>
    <w:rPr>
      <w:b/>
      <w:sz w:val="32"/>
    </w:rPr>
  </w:style>
  <w:style w:type="paragraph" w:styleId="FootnoteText">
    <w:name w:val="footnote text"/>
    <w:aliases w:val="ft,fn"/>
    <w:basedOn w:val="Normal"/>
    <w:link w:val="FootnoteTextChar"/>
    <w:uiPriority w:val="99"/>
    <w:semiHidden/>
    <w:rsid w:val="00E10D7F"/>
    <w:rPr>
      <w:sz w:val="18"/>
    </w:rPr>
  </w:style>
  <w:style w:type="character" w:customStyle="1" w:styleId="FootnoteTextChar">
    <w:name w:val="Footnote Text Char"/>
    <w:aliases w:val="ft Char,fn Char"/>
    <w:basedOn w:val="DefaultParagraphFont"/>
    <w:link w:val="FootnoteText"/>
    <w:uiPriority w:val="99"/>
    <w:semiHidden/>
    <w:rsid w:val="00E10D7F"/>
    <w:rPr>
      <w:rFonts w:ascii="Times New Roman" w:eastAsia="Times New Roman" w:hAnsi="Times New Roman" w:cs="Times New Roman"/>
      <w:sz w:val="18"/>
      <w:szCs w:val="20"/>
    </w:rPr>
  </w:style>
  <w:style w:type="paragraph" w:styleId="BodyTextIndent">
    <w:name w:val="Body Text Indent"/>
    <w:basedOn w:val="BodyText"/>
    <w:link w:val="BodyTextIndentChar"/>
    <w:uiPriority w:val="99"/>
    <w:rsid w:val="00E10D7F"/>
    <w:pPr>
      <w:ind w:left="340"/>
    </w:pPr>
  </w:style>
  <w:style w:type="character" w:customStyle="1" w:styleId="BodyTextIndentChar">
    <w:name w:val="Body Text Indent Char"/>
    <w:basedOn w:val="DefaultParagraphFont"/>
    <w:link w:val="BodyTextIndent"/>
    <w:uiPriority w:val="99"/>
    <w:rsid w:val="00E10D7F"/>
    <w:rPr>
      <w:rFonts w:ascii="Times New Roman" w:eastAsia="Times New Roman" w:hAnsi="Times New Roman" w:cs="Times New Roman"/>
      <w:szCs w:val="20"/>
    </w:rPr>
  </w:style>
  <w:style w:type="paragraph" w:customStyle="1" w:styleId="Graphic">
    <w:name w:val="Graphic"/>
    <w:basedOn w:val="Signature"/>
    <w:uiPriority w:val="99"/>
    <w:rsid w:val="00E10D7F"/>
    <w:pPr>
      <w:pBdr>
        <w:top w:val="single" w:sz="4" w:space="1" w:color="auto"/>
        <w:left w:val="single" w:sz="4" w:space="1" w:color="auto"/>
        <w:bottom w:val="single" w:sz="4" w:space="1" w:color="auto"/>
        <w:right w:val="single" w:sz="4" w:space="1" w:color="auto"/>
      </w:pBdr>
      <w:jc w:val="center"/>
    </w:pPr>
  </w:style>
  <w:style w:type="paragraph" w:styleId="Signature">
    <w:name w:val="Signature"/>
    <w:basedOn w:val="Normal"/>
    <w:link w:val="SignatureChar"/>
    <w:uiPriority w:val="99"/>
    <w:rsid w:val="00E10D7F"/>
  </w:style>
  <w:style w:type="character" w:customStyle="1" w:styleId="SignatureChar">
    <w:name w:val="Signature Char"/>
    <w:basedOn w:val="DefaultParagraphFont"/>
    <w:link w:val="Signature"/>
    <w:uiPriority w:val="99"/>
    <w:rsid w:val="00E10D7F"/>
    <w:rPr>
      <w:rFonts w:ascii="Times New Roman" w:eastAsia="Times New Roman" w:hAnsi="Times New Roman" w:cs="Times New Roman"/>
      <w:szCs w:val="20"/>
    </w:rPr>
  </w:style>
  <w:style w:type="character" w:styleId="PageNumber">
    <w:name w:val="page number"/>
    <w:basedOn w:val="DefaultParagraphFont"/>
    <w:uiPriority w:val="99"/>
    <w:rsid w:val="00E10D7F"/>
    <w:rPr>
      <w:rFonts w:cs="Times New Roman"/>
      <w:sz w:val="22"/>
    </w:rPr>
  </w:style>
  <w:style w:type="paragraph" w:customStyle="1" w:styleId="zreportaddinfo">
    <w:name w:val="zreport addinfo"/>
    <w:basedOn w:val="Normal"/>
    <w:uiPriority w:val="99"/>
    <w:semiHidden/>
    <w:rsid w:val="00E10D7F"/>
    <w:pPr>
      <w:framePr w:wrap="auto" w:hAnchor="margin" w:xAlign="center" w:yAlign="bottom"/>
      <w:spacing w:line="240" w:lineRule="exact"/>
      <w:jc w:val="center"/>
    </w:pPr>
    <w:rPr>
      <w:noProof/>
      <w:sz w:val="20"/>
    </w:rPr>
  </w:style>
  <w:style w:type="paragraph" w:customStyle="1" w:styleId="AppendixHeading">
    <w:name w:val="Appendix Heading"/>
    <w:basedOn w:val="Heading1"/>
    <w:next w:val="BodyText"/>
    <w:link w:val="AppendixHeadingChar"/>
    <w:uiPriority w:val="99"/>
    <w:rsid w:val="00E10D7F"/>
    <w:pPr>
      <w:tabs>
        <w:tab w:val="clear" w:pos="0"/>
        <w:tab w:val="num" w:pos="340"/>
      </w:tabs>
      <w:ind w:left="964" w:hanging="340"/>
      <w:outlineLvl w:val="9"/>
    </w:pPr>
  </w:style>
  <w:style w:type="character" w:customStyle="1" w:styleId="AppendixHeadingChar">
    <w:name w:val="Appendix Heading Char"/>
    <w:basedOn w:val="Heading1Char"/>
    <w:link w:val="AppendixHeading"/>
    <w:uiPriority w:val="99"/>
    <w:rsid w:val="00E10D7F"/>
  </w:style>
  <w:style w:type="paragraph" w:styleId="ListBullet3">
    <w:name w:val="List Bullet 3"/>
    <w:basedOn w:val="ListBullet"/>
    <w:uiPriority w:val="99"/>
    <w:rsid w:val="00E10D7F"/>
    <w:pPr>
      <w:numPr>
        <w:numId w:val="0"/>
      </w:numPr>
      <w:tabs>
        <w:tab w:val="num" w:pos="340"/>
        <w:tab w:val="num" w:pos="680"/>
      </w:tabs>
      <w:ind w:left="680" w:hanging="340"/>
      <w:jc w:val="left"/>
    </w:pPr>
    <w:rPr>
      <w:sz w:val="18"/>
    </w:rPr>
  </w:style>
  <w:style w:type="paragraph" w:customStyle="1" w:styleId="AppendixHeading2">
    <w:name w:val="Appendix Heading 2"/>
    <w:basedOn w:val="Heading2"/>
    <w:next w:val="BodyText"/>
    <w:link w:val="AppendixHeading2Char"/>
    <w:uiPriority w:val="99"/>
    <w:rsid w:val="00E10D7F"/>
    <w:pPr>
      <w:tabs>
        <w:tab w:val="clear" w:pos="720"/>
        <w:tab w:val="num" w:pos="340"/>
      </w:tabs>
      <w:ind w:left="340" w:hanging="340"/>
      <w:outlineLvl w:val="9"/>
    </w:pPr>
  </w:style>
  <w:style w:type="character" w:customStyle="1" w:styleId="AppendixHeading2Char">
    <w:name w:val="Appendix Heading 2 Char"/>
    <w:basedOn w:val="Heading2Char"/>
    <w:link w:val="AppendixHeading2"/>
    <w:uiPriority w:val="99"/>
    <w:rsid w:val="00E10D7F"/>
  </w:style>
  <w:style w:type="paragraph" w:customStyle="1" w:styleId="AppendixHeading3">
    <w:name w:val="Appendix Heading 3"/>
    <w:basedOn w:val="Heading30"/>
    <w:next w:val="BodyText"/>
    <w:uiPriority w:val="99"/>
    <w:rsid w:val="00E10D7F"/>
    <w:pPr>
      <w:tabs>
        <w:tab w:val="clear" w:pos="0"/>
        <w:tab w:val="clear" w:pos="984"/>
        <w:tab w:val="num" w:pos="340"/>
        <w:tab w:val="num" w:pos="964"/>
      </w:tabs>
      <w:ind w:left="964" w:hanging="340"/>
      <w:outlineLvl w:val="9"/>
    </w:pPr>
  </w:style>
  <w:style w:type="paragraph" w:customStyle="1" w:styleId="AppendixHeading4">
    <w:name w:val="Appendix Heading 4"/>
    <w:basedOn w:val="Heading40"/>
    <w:next w:val="BodyText"/>
    <w:uiPriority w:val="99"/>
    <w:rsid w:val="00E10D7F"/>
    <w:pPr>
      <w:tabs>
        <w:tab w:val="clear" w:pos="720"/>
        <w:tab w:val="num" w:pos="0"/>
        <w:tab w:val="num" w:pos="340"/>
      </w:tabs>
      <w:ind w:left="0" w:hanging="340"/>
      <w:outlineLvl w:val="9"/>
    </w:pPr>
  </w:style>
  <w:style w:type="paragraph" w:customStyle="1" w:styleId="AppendixHeading5">
    <w:name w:val="Appendix Heading 5"/>
    <w:basedOn w:val="Heading5"/>
    <w:next w:val="BodyText"/>
    <w:uiPriority w:val="99"/>
    <w:rsid w:val="00E10D7F"/>
    <w:pPr>
      <w:outlineLvl w:val="9"/>
    </w:pPr>
  </w:style>
  <w:style w:type="paragraph" w:styleId="BodyText3">
    <w:name w:val="Body Text 3"/>
    <w:basedOn w:val="Normal"/>
    <w:link w:val="BodyText3Char"/>
    <w:uiPriority w:val="99"/>
    <w:rsid w:val="00E10D7F"/>
    <w:pPr>
      <w:ind w:left="142" w:hanging="142"/>
    </w:pPr>
    <w:rPr>
      <w:sz w:val="18"/>
      <w:szCs w:val="16"/>
    </w:rPr>
  </w:style>
  <w:style w:type="character" w:customStyle="1" w:styleId="BodyText3Char">
    <w:name w:val="Body Text 3 Char"/>
    <w:basedOn w:val="DefaultParagraphFont"/>
    <w:link w:val="BodyText3"/>
    <w:uiPriority w:val="99"/>
    <w:rsid w:val="00E10D7F"/>
    <w:rPr>
      <w:rFonts w:ascii="Times New Roman" w:eastAsia="Times New Roman" w:hAnsi="Times New Roman" w:cs="Times New Roman"/>
      <w:sz w:val="18"/>
      <w:szCs w:val="16"/>
    </w:rPr>
  </w:style>
  <w:style w:type="paragraph" w:styleId="Caption">
    <w:name w:val="caption"/>
    <w:aliases w:val="CaptionW"/>
    <w:basedOn w:val="Normal"/>
    <w:next w:val="Normal"/>
    <w:qFormat/>
    <w:rsid w:val="00E10D7F"/>
    <w:rPr>
      <w:b/>
      <w:bCs/>
    </w:rPr>
  </w:style>
  <w:style w:type="paragraph" w:styleId="ListBullet4">
    <w:name w:val="List Bullet 4"/>
    <w:basedOn w:val="ListBullet2"/>
    <w:uiPriority w:val="99"/>
    <w:rsid w:val="00E10D7F"/>
    <w:pPr>
      <w:jc w:val="left"/>
    </w:pPr>
    <w:rPr>
      <w:sz w:val="18"/>
    </w:rPr>
  </w:style>
  <w:style w:type="character" w:styleId="FootnoteReference">
    <w:name w:val="footnote reference"/>
    <w:aliases w:val="fr"/>
    <w:basedOn w:val="DefaultParagraphFont"/>
    <w:uiPriority w:val="99"/>
    <w:semiHidden/>
    <w:rsid w:val="00E10D7F"/>
    <w:rPr>
      <w:rFonts w:cs="Times New Roman"/>
      <w:vertAlign w:val="superscript"/>
    </w:rPr>
  </w:style>
  <w:style w:type="table" w:styleId="TableGrid">
    <w:name w:val="Table Grid"/>
    <w:basedOn w:val="TableNormal"/>
    <w:uiPriority w:val="99"/>
    <w:rsid w:val="00E10D7F"/>
    <w:pPr>
      <w:widowControl w:val="0"/>
      <w:adjustRightInd w:val="0"/>
      <w:spacing w:after="0" w:line="360" w:lineRule="atLeast"/>
      <w:jc w:val="both"/>
      <w:textAlignment w:val="baseline"/>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semiHidden/>
    <w:rsid w:val="00E10D7F"/>
    <w:rPr>
      <w:rFonts w:ascii="Times New Roman" w:eastAsia="MS Mincho" w:hAnsi="Times New Roman" w:cs="Times New Roman"/>
      <w:sz w:val="20"/>
      <w:szCs w:val="20"/>
      <w:lang w:eastAsia="ja-JP"/>
    </w:rPr>
  </w:style>
  <w:style w:type="paragraph" w:styleId="CommentText">
    <w:name w:val="annotation text"/>
    <w:basedOn w:val="Normal"/>
    <w:link w:val="CommentTextChar"/>
    <w:semiHidden/>
    <w:rsid w:val="00E10D7F"/>
    <w:pPr>
      <w:widowControl w:val="0"/>
      <w:adjustRightInd w:val="0"/>
      <w:spacing w:line="360" w:lineRule="atLeast"/>
      <w:jc w:val="both"/>
      <w:textAlignment w:val="baseline"/>
    </w:pPr>
    <w:rPr>
      <w:rFonts w:eastAsia="MS Mincho"/>
      <w:sz w:val="20"/>
      <w:lang w:eastAsia="ja-JP"/>
    </w:rPr>
  </w:style>
  <w:style w:type="paragraph" w:customStyle="1" w:styleId="bullet">
    <w:name w:val="bullet"/>
    <w:basedOn w:val="BodyText"/>
    <w:uiPriority w:val="99"/>
    <w:rsid w:val="00E10D7F"/>
    <w:pPr>
      <w:tabs>
        <w:tab w:val="num" w:pos="680"/>
      </w:tabs>
      <w:spacing w:before="180" w:after="0"/>
      <w:ind w:left="692" w:hanging="346"/>
      <w:jc w:val="left"/>
    </w:pPr>
    <w:rPr>
      <w:sz w:val="24"/>
    </w:rPr>
  </w:style>
  <w:style w:type="paragraph" w:styleId="NormalWeb">
    <w:name w:val="Normal (Web)"/>
    <w:basedOn w:val="Normal"/>
    <w:uiPriority w:val="99"/>
    <w:rsid w:val="00E10D7F"/>
    <w:pPr>
      <w:spacing w:before="100" w:beforeAutospacing="1" w:after="100" w:afterAutospacing="1"/>
    </w:pPr>
    <w:rPr>
      <w:sz w:val="24"/>
      <w:szCs w:val="24"/>
    </w:rPr>
  </w:style>
  <w:style w:type="character" w:customStyle="1" w:styleId="large1">
    <w:name w:val="large1"/>
    <w:basedOn w:val="DefaultParagraphFont"/>
    <w:uiPriority w:val="99"/>
    <w:rsid w:val="00E10D7F"/>
    <w:rPr>
      <w:rFonts w:ascii="Verdana" w:hAnsi="Verdana" w:cs="Times New Roman"/>
      <w:color w:val="auto"/>
      <w:sz w:val="20"/>
      <w:szCs w:val="20"/>
    </w:rPr>
  </w:style>
  <w:style w:type="paragraph" w:customStyle="1" w:styleId="KPMGNormal">
    <w:name w:val="KPMGNormal"/>
    <w:link w:val="KPMGNormalChar"/>
    <w:uiPriority w:val="99"/>
    <w:rsid w:val="00E10D7F"/>
    <w:pPr>
      <w:spacing w:after="0" w:line="240" w:lineRule="auto"/>
      <w:jc w:val="both"/>
    </w:pPr>
    <w:rPr>
      <w:rFonts w:ascii="Times New Roman" w:eastAsia="Times New Roman" w:hAnsi="Times New Roman" w:cs="Times New Roman"/>
      <w:sz w:val="24"/>
      <w:szCs w:val="20"/>
    </w:rPr>
  </w:style>
  <w:style w:type="character" w:customStyle="1" w:styleId="KPMGNormalChar">
    <w:name w:val="KPMGNormal Char"/>
    <w:basedOn w:val="DefaultParagraphFont"/>
    <w:link w:val="KPMGNormal"/>
    <w:uiPriority w:val="99"/>
    <w:locked/>
    <w:rsid w:val="00E10D7F"/>
    <w:rPr>
      <w:rFonts w:ascii="Times New Roman" w:eastAsia="Times New Roman" w:hAnsi="Times New Roman" w:cs="Times New Roman"/>
      <w:sz w:val="24"/>
      <w:szCs w:val="20"/>
    </w:rPr>
  </w:style>
  <w:style w:type="character" w:styleId="Hyperlink">
    <w:name w:val="Hyperlink"/>
    <w:basedOn w:val="DefaultParagraphFont"/>
    <w:rsid w:val="00E10D7F"/>
    <w:rPr>
      <w:rFonts w:cs="Times New Roman"/>
      <w:color w:val="0000FF"/>
      <w:u w:val="none"/>
    </w:rPr>
  </w:style>
  <w:style w:type="character" w:styleId="FollowedHyperlink">
    <w:name w:val="FollowedHyperlink"/>
    <w:basedOn w:val="DefaultParagraphFont"/>
    <w:uiPriority w:val="99"/>
    <w:rsid w:val="00E10D7F"/>
    <w:rPr>
      <w:rFonts w:cs="Times New Roman"/>
      <w:color w:val="auto"/>
      <w:u w:val="single"/>
    </w:rPr>
  </w:style>
  <w:style w:type="paragraph" w:styleId="TOCHeading">
    <w:name w:val="TOC Heading"/>
    <w:basedOn w:val="Heading1"/>
    <w:next w:val="Normal"/>
    <w:uiPriority w:val="99"/>
    <w:qFormat/>
    <w:rsid w:val="00E10D7F"/>
    <w:pPr>
      <w:keepLines/>
      <w:pageBreakBefore w:val="0"/>
      <w:tabs>
        <w:tab w:val="clear" w:pos="0"/>
      </w:tabs>
      <w:spacing w:before="480" w:line="276" w:lineRule="auto"/>
      <w:ind w:firstLine="0"/>
      <w:outlineLvl w:val="9"/>
    </w:pPr>
    <w:rPr>
      <w:rFonts w:ascii="Cambria" w:hAnsi="Cambria"/>
      <w:bCs/>
      <w:color w:val="365F91"/>
      <w:sz w:val="28"/>
      <w:szCs w:val="28"/>
    </w:rPr>
  </w:style>
  <w:style w:type="character" w:customStyle="1" w:styleId="CommentSubjectChar">
    <w:name w:val="Comment Subject Char"/>
    <w:basedOn w:val="CommentTextChar"/>
    <w:link w:val="CommentSubject"/>
    <w:uiPriority w:val="99"/>
    <w:semiHidden/>
    <w:rsid w:val="00E10D7F"/>
    <w:rPr>
      <w:rFonts w:eastAsia="Times New Roman"/>
      <w:b/>
      <w:bCs/>
    </w:rPr>
  </w:style>
  <w:style w:type="paragraph" w:styleId="CommentSubject">
    <w:name w:val="annotation subject"/>
    <w:basedOn w:val="CommentText"/>
    <w:next w:val="CommentText"/>
    <w:link w:val="CommentSubjectChar"/>
    <w:uiPriority w:val="99"/>
    <w:semiHidden/>
    <w:rsid w:val="00E10D7F"/>
    <w:pPr>
      <w:widowControl/>
      <w:adjustRightInd/>
      <w:spacing w:line="240" w:lineRule="auto"/>
      <w:jc w:val="left"/>
      <w:textAlignment w:val="auto"/>
    </w:pPr>
    <w:rPr>
      <w:rFonts w:eastAsia="Times New Roman"/>
      <w:b/>
      <w:bCs/>
      <w:lang w:eastAsia="en-US"/>
    </w:rPr>
  </w:style>
  <w:style w:type="paragraph" w:styleId="ListParagraph">
    <w:name w:val="List Paragraph"/>
    <w:basedOn w:val="Normal"/>
    <w:uiPriority w:val="34"/>
    <w:qFormat/>
    <w:rsid w:val="00E10D7F"/>
    <w:pPr>
      <w:ind w:left="720"/>
      <w:contextualSpacing/>
    </w:pPr>
  </w:style>
  <w:style w:type="paragraph" w:customStyle="1" w:styleId="Heading10">
    <w:name w:val="_Heading 1"/>
    <w:basedOn w:val="Heading1"/>
    <w:link w:val="Heading1Char0"/>
    <w:qFormat/>
    <w:rsid w:val="00E10D7F"/>
    <w:pPr>
      <w:widowControl w:val="0"/>
      <w:numPr>
        <w:numId w:val="2"/>
      </w:numPr>
      <w:tabs>
        <w:tab w:val="clear" w:pos="720"/>
      </w:tabs>
      <w:adjustRightInd w:val="0"/>
      <w:spacing w:line="240" w:lineRule="auto"/>
      <w:textAlignment w:val="baseline"/>
    </w:pPr>
  </w:style>
  <w:style w:type="character" w:customStyle="1" w:styleId="Heading1Char0">
    <w:name w:val="_Heading 1 Char"/>
    <w:basedOn w:val="Heading1Char"/>
    <w:link w:val="Heading10"/>
    <w:rsid w:val="00E10D7F"/>
  </w:style>
  <w:style w:type="paragraph" w:customStyle="1" w:styleId="Appendix1">
    <w:name w:val="_Appendix 1"/>
    <w:basedOn w:val="AppendixHeading"/>
    <w:link w:val="Appendix1Char"/>
    <w:qFormat/>
    <w:rsid w:val="00E10D7F"/>
    <w:pPr>
      <w:numPr>
        <w:numId w:val="3"/>
      </w:numPr>
      <w:tabs>
        <w:tab w:val="clear" w:pos="720"/>
      </w:tabs>
      <w:spacing w:line="240" w:lineRule="auto"/>
    </w:pPr>
    <w:rPr>
      <w:bCs/>
    </w:rPr>
  </w:style>
  <w:style w:type="character" w:customStyle="1" w:styleId="Appendix1Char">
    <w:name w:val="_Appendix 1 Char"/>
    <w:basedOn w:val="AppendixHeadingChar"/>
    <w:link w:val="Appendix1"/>
    <w:rsid w:val="00E10D7F"/>
    <w:rPr>
      <w:bCs/>
    </w:rPr>
  </w:style>
  <w:style w:type="paragraph" w:customStyle="1" w:styleId="Heading20">
    <w:name w:val="_Heading 2"/>
    <w:basedOn w:val="Heading2"/>
    <w:link w:val="Heading2Char0"/>
    <w:qFormat/>
    <w:rsid w:val="00E10D7F"/>
    <w:pPr>
      <w:numPr>
        <w:ilvl w:val="1"/>
        <w:numId w:val="2"/>
      </w:numPr>
      <w:tabs>
        <w:tab w:val="clear" w:pos="964"/>
        <w:tab w:val="num" w:pos="0"/>
      </w:tabs>
      <w:spacing w:before="130" w:after="130" w:line="280" w:lineRule="exact"/>
      <w:ind w:left="0" w:hanging="965"/>
    </w:pPr>
  </w:style>
  <w:style w:type="character" w:customStyle="1" w:styleId="Heading2Char0">
    <w:name w:val="_Heading 2 Char"/>
    <w:basedOn w:val="Heading2Char"/>
    <w:link w:val="Heading20"/>
    <w:rsid w:val="00E10D7F"/>
  </w:style>
  <w:style w:type="paragraph" w:customStyle="1" w:styleId="Appendix2">
    <w:name w:val="_Appendix 2"/>
    <w:basedOn w:val="AppendixHeading2"/>
    <w:link w:val="Appendix2Char"/>
    <w:qFormat/>
    <w:rsid w:val="00E10D7F"/>
    <w:pPr>
      <w:numPr>
        <w:ilvl w:val="1"/>
        <w:numId w:val="3"/>
      </w:numPr>
      <w:tabs>
        <w:tab w:val="clear" w:pos="964"/>
        <w:tab w:val="num" w:pos="0"/>
      </w:tabs>
      <w:spacing w:before="0" w:line="240" w:lineRule="auto"/>
      <w:ind w:left="0" w:hanging="990"/>
    </w:pPr>
    <w:rPr>
      <w:bCs/>
    </w:rPr>
  </w:style>
  <w:style w:type="character" w:customStyle="1" w:styleId="Appendix2Char">
    <w:name w:val="_Appendix 2 Char"/>
    <w:basedOn w:val="AppendixHeading2Char"/>
    <w:link w:val="Appendix2"/>
    <w:rsid w:val="00E10D7F"/>
    <w:rPr>
      <w:bCs/>
    </w:rPr>
  </w:style>
  <w:style w:type="paragraph" w:customStyle="1" w:styleId="Heading3">
    <w:name w:val="_Heading 3"/>
    <w:basedOn w:val="Heading30"/>
    <w:link w:val="Heading3Char0"/>
    <w:qFormat/>
    <w:rsid w:val="00E10D7F"/>
    <w:pPr>
      <w:numPr>
        <w:ilvl w:val="2"/>
        <w:numId w:val="2"/>
      </w:numPr>
      <w:tabs>
        <w:tab w:val="clear" w:pos="720"/>
        <w:tab w:val="clear" w:pos="984"/>
      </w:tabs>
    </w:pPr>
  </w:style>
  <w:style w:type="character" w:customStyle="1" w:styleId="Heading3Char0">
    <w:name w:val="_Heading 3 Char"/>
    <w:basedOn w:val="Heading3Char"/>
    <w:link w:val="Heading3"/>
    <w:rsid w:val="00E10D7F"/>
  </w:style>
  <w:style w:type="paragraph" w:customStyle="1" w:styleId="Heading4">
    <w:name w:val="_Heading 4"/>
    <w:basedOn w:val="Heading40"/>
    <w:link w:val="Heading4Char0"/>
    <w:qFormat/>
    <w:rsid w:val="00E10D7F"/>
    <w:pPr>
      <w:numPr>
        <w:ilvl w:val="3"/>
        <w:numId w:val="2"/>
      </w:numPr>
      <w:ind w:left="0" w:hanging="965"/>
    </w:pPr>
  </w:style>
  <w:style w:type="character" w:customStyle="1" w:styleId="Heading4Char0">
    <w:name w:val="_Heading 4 Char"/>
    <w:basedOn w:val="Heading4Char"/>
    <w:link w:val="Heading4"/>
    <w:rsid w:val="00E10D7F"/>
  </w:style>
  <w:style w:type="paragraph" w:customStyle="1" w:styleId="BodyText0">
    <w:name w:val="_Body Text"/>
    <w:basedOn w:val="BodyText"/>
    <w:link w:val="BodyTextChar"/>
    <w:qFormat/>
    <w:rsid w:val="00E10D7F"/>
  </w:style>
  <w:style w:type="character" w:customStyle="1" w:styleId="BodyTextChar">
    <w:name w:val="_Body Text Char"/>
    <w:basedOn w:val="BodyTextChar0"/>
    <w:link w:val="BodyText0"/>
    <w:rsid w:val="00E10D7F"/>
  </w:style>
  <w:style w:type="paragraph" w:customStyle="1" w:styleId="Bullet0">
    <w:name w:val="_Bullet"/>
    <w:basedOn w:val="ListBullet"/>
    <w:link w:val="BulletChar1"/>
    <w:qFormat/>
    <w:rsid w:val="00E10D7F"/>
  </w:style>
  <w:style w:type="character" w:customStyle="1" w:styleId="BulletChar1">
    <w:name w:val="_Bullet Char1"/>
    <w:basedOn w:val="ListBulletChar"/>
    <w:link w:val="Bullet0"/>
    <w:rsid w:val="00E10D7F"/>
  </w:style>
  <w:style w:type="paragraph" w:customStyle="1" w:styleId="Numbered">
    <w:name w:val="_Numbered"/>
    <w:basedOn w:val="Bullet0"/>
    <w:link w:val="NumberedChar"/>
    <w:qFormat/>
    <w:rsid w:val="00E10D7F"/>
    <w:pPr>
      <w:numPr>
        <w:numId w:val="9"/>
      </w:numPr>
    </w:pPr>
  </w:style>
  <w:style w:type="character" w:customStyle="1" w:styleId="NumberedChar">
    <w:name w:val="_Numbered Char"/>
    <w:basedOn w:val="BulletChar1"/>
    <w:link w:val="Numbered"/>
    <w:rsid w:val="00E10D7F"/>
  </w:style>
  <w:style w:type="character" w:customStyle="1" w:styleId="BulletChar">
    <w:name w:val="_Bullet Char"/>
    <w:basedOn w:val="ListBulletChar"/>
    <w:rsid w:val="00E10D7F"/>
  </w:style>
  <w:style w:type="paragraph" w:customStyle="1" w:styleId="Bullet1">
    <w:name w:val="_Bullet 1"/>
    <w:basedOn w:val="Bullet0"/>
    <w:link w:val="Bullet1Char"/>
    <w:qFormat/>
    <w:rsid w:val="00E10D7F"/>
    <w:pPr>
      <w:tabs>
        <w:tab w:val="clear" w:pos="340"/>
        <w:tab w:val="num" w:pos="680"/>
      </w:tabs>
      <w:ind w:left="680"/>
    </w:pPr>
  </w:style>
  <w:style w:type="character" w:customStyle="1" w:styleId="Bullet1Char">
    <w:name w:val="_Bullet 1 Char"/>
    <w:basedOn w:val="BulletChar1"/>
    <w:link w:val="Bullet1"/>
    <w:rsid w:val="00E10D7F"/>
  </w:style>
  <w:style w:type="character" w:customStyle="1" w:styleId="EndnoteTextChar">
    <w:name w:val="Endnote Text Char"/>
    <w:basedOn w:val="DefaultParagraphFont"/>
    <w:link w:val="EndnoteText"/>
    <w:uiPriority w:val="99"/>
    <w:semiHidden/>
    <w:rsid w:val="00E10D7F"/>
    <w:rPr>
      <w:rFonts w:ascii="Times New Roman" w:eastAsia="Times New Roman" w:hAnsi="Times New Roman" w:cs="Times New Roman"/>
      <w:sz w:val="20"/>
      <w:szCs w:val="20"/>
    </w:rPr>
  </w:style>
  <w:style w:type="paragraph" w:styleId="EndnoteText">
    <w:name w:val="endnote text"/>
    <w:basedOn w:val="Normal"/>
    <w:link w:val="EndnoteTextChar"/>
    <w:uiPriority w:val="99"/>
    <w:semiHidden/>
    <w:unhideWhenUsed/>
    <w:rsid w:val="00E10D7F"/>
    <w:rPr>
      <w:sz w:val="20"/>
    </w:rPr>
  </w:style>
  <w:style w:type="character" w:customStyle="1" w:styleId="DocumentMapChar">
    <w:name w:val="Document Map Char"/>
    <w:basedOn w:val="DefaultParagraphFont"/>
    <w:link w:val="DocumentMap"/>
    <w:uiPriority w:val="99"/>
    <w:semiHidden/>
    <w:rsid w:val="00E10D7F"/>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E10D7F"/>
    <w:rPr>
      <w:rFonts w:ascii="Tahoma" w:hAnsi="Tahoma" w:cs="Tahoma"/>
      <w:sz w:val="16"/>
      <w:szCs w:val="16"/>
    </w:rPr>
  </w:style>
  <w:style w:type="paragraph" w:styleId="Subtitle">
    <w:name w:val="Subtitle"/>
    <w:basedOn w:val="Normal"/>
    <w:link w:val="SubtitleChar"/>
    <w:qFormat/>
    <w:rsid w:val="00E10D7F"/>
    <w:rPr>
      <w:b/>
      <w:bCs/>
      <w:szCs w:val="24"/>
    </w:rPr>
  </w:style>
  <w:style w:type="character" w:customStyle="1" w:styleId="SubtitleChar">
    <w:name w:val="Subtitle Char"/>
    <w:basedOn w:val="DefaultParagraphFont"/>
    <w:link w:val="Subtitle"/>
    <w:rsid w:val="00E10D7F"/>
    <w:rPr>
      <w:rFonts w:ascii="Times New Roman" w:eastAsia="Times New Roman" w:hAnsi="Times New Roman" w:cs="Times New Roman"/>
      <w:b/>
      <w:bCs/>
      <w:szCs w:val="24"/>
    </w:rPr>
  </w:style>
  <w:style w:type="character" w:styleId="Strong">
    <w:name w:val="Strong"/>
    <w:basedOn w:val="DefaultParagraphFont"/>
    <w:uiPriority w:val="22"/>
    <w:qFormat/>
    <w:rsid w:val="00E10D7F"/>
    <w:rPr>
      <w:b/>
      <w:bCs/>
    </w:rPr>
  </w:style>
  <w:style w:type="paragraph" w:customStyle="1" w:styleId="Alternateheadingortitle">
    <w:name w:val="Alternate heading or title"/>
    <w:basedOn w:val="Normal"/>
    <w:rsid w:val="00E10D7F"/>
    <w:pPr>
      <w:widowControl w:val="0"/>
      <w:pBdr>
        <w:top w:val="single" w:sz="6" w:space="1" w:color="auto"/>
        <w:bottom w:val="single" w:sz="6" w:space="1" w:color="auto"/>
      </w:pBdr>
      <w:spacing w:after="120" w:line="260" w:lineRule="atLeast"/>
      <w:jc w:val="right"/>
    </w:pPr>
    <w:rPr>
      <w:rFonts w:ascii="ZapfHumnst BT" w:hAnsi="ZapfHumnst BT"/>
      <w:smallCaps/>
      <w:sz w:val="40"/>
    </w:rPr>
  </w:style>
  <w:style w:type="paragraph" w:customStyle="1" w:styleId="xl31">
    <w:name w:val="xl31"/>
    <w:basedOn w:val="Normal"/>
    <w:rsid w:val="00E10D7F"/>
    <w:pPr>
      <w:spacing w:before="100" w:beforeAutospacing="1" w:after="100" w:afterAutospacing="1"/>
    </w:pPr>
    <w:rPr>
      <w:rFonts w:ascii="Arial Unicode MS" w:eastAsia="Arial Unicode MS" w:hAnsi="Arial Unicode MS" w:cs="Arial Unicode MS"/>
      <w:b/>
      <w:b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usportal.us.kworld.kpmg.com/us/Functions/tax/evs/tp/TPWiki/wiki%20pages/2.7.5%20ordering%20and%20organization%20of%20the%20analysis%20of%20multiple%20transactions%20when%20using%20net%20margin%20methods.aspx?usersegment=F17E450CB0D9FD044379055CECED6" TargetMode="Externa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3724</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24908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T Clair</dc:creator>
  <cp:lastModifiedBy>Robert T Clair</cp:lastModifiedBy>
  <cp:revision>1</cp:revision>
  <dcterms:created xsi:type="dcterms:W3CDTF">2014-04-10T13:59:00Z</dcterms:created>
  <dcterms:modified xsi:type="dcterms:W3CDTF">2014-04-10T14:42:00Z</dcterms:modified>
</cp:coreProperties>
</file>