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D2494" w14:textId="4D75B966" w:rsidR="009D505C" w:rsidRDefault="009D505C" w:rsidP="009D505C">
      <w:pPr>
        <w:jc w:val="center"/>
      </w:pPr>
      <w:r>
        <w:t>Plan</w:t>
      </w:r>
      <w:r>
        <w:t xml:space="preserve"> de instalación </w:t>
      </w:r>
    </w:p>
    <w:p w14:paraId="19011790" w14:textId="77777777" w:rsidR="009D505C" w:rsidRDefault="009D505C" w:rsidP="009D505C">
      <w:pPr>
        <w:jc w:val="center"/>
      </w:pPr>
    </w:p>
    <w:p w14:paraId="59F1A1F6" w14:textId="77777777" w:rsidR="009D505C" w:rsidRDefault="009D505C" w:rsidP="009D505C">
      <w:pPr>
        <w:jc w:val="center"/>
      </w:pPr>
    </w:p>
    <w:p w14:paraId="25DF527B" w14:textId="77777777" w:rsidR="009D505C" w:rsidRDefault="009D505C" w:rsidP="009D505C">
      <w:pPr>
        <w:jc w:val="center"/>
      </w:pPr>
    </w:p>
    <w:p w14:paraId="036BF2AF" w14:textId="77777777" w:rsidR="009D505C" w:rsidRDefault="009D505C" w:rsidP="009D505C">
      <w:pPr>
        <w:jc w:val="center"/>
      </w:pPr>
    </w:p>
    <w:p w14:paraId="5F49C750" w14:textId="77777777" w:rsidR="009D505C" w:rsidRDefault="009D505C" w:rsidP="009D505C">
      <w:pPr>
        <w:jc w:val="center"/>
      </w:pPr>
      <w:r>
        <w:t>Juan David Novoa Yanguma</w:t>
      </w:r>
    </w:p>
    <w:p w14:paraId="2C703A8E" w14:textId="77777777" w:rsidR="009D505C" w:rsidRDefault="009D505C" w:rsidP="009D505C">
      <w:pPr>
        <w:jc w:val="center"/>
      </w:pPr>
      <w:r>
        <w:t>Axl Julián Acuña Rubiano</w:t>
      </w:r>
    </w:p>
    <w:p w14:paraId="6883220A" w14:textId="77777777" w:rsidR="009D505C" w:rsidRDefault="009D505C" w:rsidP="009D505C">
      <w:pPr>
        <w:jc w:val="center"/>
      </w:pPr>
      <w:r>
        <w:t>Yeison Andrey Gualteros Bernal</w:t>
      </w:r>
    </w:p>
    <w:p w14:paraId="09BDCC47" w14:textId="77777777" w:rsidR="009D505C" w:rsidRDefault="009D505C" w:rsidP="009D505C">
      <w:pPr>
        <w:jc w:val="center"/>
      </w:pPr>
    </w:p>
    <w:p w14:paraId="51526FD2" w14:textId="77777777" w:rsidR="009D505C" w:rsidRDefault="009D505C" w:rsidP="009D505C">
      <w:pPr>
        <w:jc w:val="center"/>
      </w:pPr>
    </w:p>
    <w:p w14:paraId="6298B5AF" w14:textId="77777777" w:rsidR="009D505C" w:rsidRDefault="009D505C" w:rsidP="009D505C">
      <w:pPr>
        <w:jc w:val="center"/>
      </w:pPr>
    </w:p>
    <w:p w14:paraId="177EF815" w14:textId="77777777" w:rsidR="009D505C" w:rsidRDefault="009D505C" w:rsidP="009D505C">
      <w:pPr>
        <w:jc w:val="center"/>
      </w:pPr>
      <w:r>
        <w:t>Isaura Novoa</w:t>
      </w:r>
    </w:p>
    <w:p w14:paraId="7CFFFA9E" w14:textId="77777777" w:rsidR="009D505C" w:rsidRDefault="009D505C" w:rsidP="009D505C">
      <w:pPr>
        <w:jc w:val="center"/>
      </w:pPr>
      <w:r>
        <w:t>Centro De Electricidad Electrónica y telecomunicaciones. (CEET SENA)</w:t>
      </w:r>
    </w:p>
    <w:p w14:paraId="033E7A0F" w14:textId="77777777" w:rsidR="009D505C" w:rsidRDefault="009D505C" w:rsidP="009D505C">
      <w:pPr>
        <w:jc w:val="center"/>
      </w:pPr>
    </w:p>
    <w:p w14:paraId="0EDD5244" w14:textId="77777777" w:rsidR="009D505C" w:rsidRDefault="009D505C" w:rsidP="009D505C">
      <w:pPr>
        <w:jc w:val="center"/>
      </w:pPr>
    </w:p>
    <w:p w14:paraId="5BA9B2C0" w14:textId="77777777" w:rsidR="009D505C" w:rsidRDefault="009D505C" w:rsidP="009D505C">
      <w:pPr>
        <w:jc w:val="center"/>
      </w:pPr>
    </w:p>
    <w:p w14:paraId="183B5B80" w14:textId="77777777" w:rsidR="009D505C" w:rsidRDefault="009D505C" w:rsidP="009D505C">
      <w:pPr>
        <w:jc w:val="center"/>
      </w:pPr>
    </w:p>
    <w:p w14:paraId="3831F89F" w14:textId="77777777" w:rsidR="009D505C" w:rsidRDefault="009D505C" w:rsidP="009D505C">
      <w:pPr>
        <w:jc w:val="center"/>
      </w:pPr>
      <w:r>
        <w:t>2024</w:t>
      </w:r>
    </w:p>
    <w:p w14:paraId="701BAB4C" w14:textId="77777777" w:rsidR="009D505C" w:rsidRDefault="009D505C" w:rsidP="009D505C">
      <w:pPr>
        <w:jc w:val="center"/>
      </w:pPr>
    </w:p>
    <w:p w14:paraId="70878402" w14:textId="77777777" w:rsidR="009D505C" w:rsidRDefault="009D505C" w:rsidP="009D505C">
      <w:pPr>
        <w:jc w:val="center"/>
      </w:pPr>
    </w:p>
    <w:sdt>
      <w:sdtPr>
        <w:rPr>
          <w:lang w:val="es-MX"/>
        </w:rPr>
        <w:id w:val="-80732146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19E0353E" w14:textId="77777777" w:rsidR="009D505C" w:rsidRDefault="009D505C" w:rsidP="009D505C">
          <w:pPr>
            <w:pStyle w:val="TtuloTDC"/>
          </w:pPr>
          <w:r>
            <w:rPr>
              <w:lang w:val="es-MX"/>
            </w:rPr>
            <w:t>Tabla de contenido</w:t>
          </w:r>
        </w:p>
        <w:p w14:paraId="54FA893C" w14:textId="1171068B" w:rsidR="00FA75E2" w:rsidRDefault="009D505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67565" w:history="1">
            <w:r w:rsidR="00FA75E2" w:rsidRPr="006239AE">
              <w:rPr>
                <w:rStyle w:val="Hipervnculo"/>
                <w:noProof/>
              </w:rPr>
              <w:t>Plan de instalación de la plataforma educativa (SRUMPE)</w:t>
            </w:r>
            <w:r w:rsidR="00FA75E2">
              <w:rPr>
                <w:noProof/>
                <w:webHidden/>
              </w:rPr>
              <w:tab/>
            </w:r>
            <w:r w:rsidR="00FA75E2">
              <w:rPr>
                <w:noProof/>
                <w:webHidden/>
              </w:rPr>
              <w:fldChar w:fldCharType="begin"/>
            </w:r>
            <w:r w:rsidR="00FA75E2">
              <w:rPr>
                <w:noProof/>
                <w:webHidden/>
              </w:rPr>
              <w:instrText xml:space="preserve"> PAGEREF _Toc162967565 \h </w:instrText>
            </w:r>
            <w:r w:rsidR="00FA75E2">
              <w:rPr>
                <w:noProof/>
                <w:webHidden/>
              </w:rPr>
            </w:r>
            <w:r w:rsidR="00FA75E2">
              <w:rPr>
                <w:noProof/>
                <w:webHidden/>
              </w:rPr>
              <w:fldChar w:fldCharType="separate"/>
            </w:r>
            <w:r w:rsidR="00FA75E2">
              <w:rPr>
                <w:noProof/>
                <w:webHidden/>
              </w:rPr>
              <w:t>2</w:t>
            </w:r>
            <w:r w:rsidR="00FA75E2">
              <w:rPr>
                <w:noProof/>
                <w:webHidden/>
              </w:rPr>
              <w:fldChar w:fldCharType="end"/>
            </w:r>
          </w:hyperlink>
        </w:p>
        <w:p w14:paraId="2A6F9E5C" w14:textId="4A374261" w:rsidR="00FA75E2" w:rsidRDefault="00FA75E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967566" w:history="1">
            <w:r w:rsidRPr="006239AE">
              <w:rPr>
                <w:rStyle w:val="Hipervnculo"/>
                <w:noProof/>
              </w:rPr>
              <w:t>Propósito: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07EA" w14:textId="66694886" w:rsidR="00FA75E2" w:rsidRDefault="00FA75E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967567" w:history="1">
            <w:r w:rsidRPr="006239AE">
              <w:rPr>
                <w:rStyle w:val="Hipervnculo"/>
                <w:noProof/>
              </w:rPr>
              <w:t>Eslogan: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6358" w14:textId="172C4E06" w:rsidR="00FA75E2" w:rsidRDefault="00FA75E2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967568" w:history="1">
            <w:r w:rsidRPr="006239AE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6239AE">
              <w:rPr>
                <w:rStyle w:val="Hipervnculo"/>
                <w:noProof/>
              </w:rPr>
              <w:t>Identificación de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D772" w14:textId="15BD0B58" w:rsidR="00FA75E2" w:rsidRDefault="00FA75E2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967569" w:history="1">
            <w:r w:rsidRPr="006239A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6239AE">
              <w:rPr>
                <w:rStyle w:val="Hipervnculo"/>
                <w:noProof/>
              </w:rPr>
              <w:t>Preparación del Entorno: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1E42" w14:textId="5C828710" w:rsidR="00FA75E2" w:rsidRDefault="00FA75E2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967570" w:history="1">
            <w:r w:rsidRPr="006239A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6239AE">
              <w:rPr>
                <w:rStyle w:val="Hipervnculo"/>
                <w:noProof/>
              </w:rPr>
              <w:t>Configuración del Entorno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1C5C1" w14:textId="21E6FF66" w:rsidR="00FA75E2" w:rsidRDefault="00FA75E2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967571" w:history="1">
            <w:r w:rsidRPr="006239A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6239AE">
              <w:rPr>
                <w:rStyle w:val="Hipervnculo"/>
                <w:noProof/>
              </w:rPr>
              <w:t>Configuración del 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8003" w14:textId="1928115B" w:rsidR="00FA75E2" w:rsidRDefault="00FA75E2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967572" w:history="1">
            <w:r w:rsidRPr="006239AE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6239AE">
              <w:rPr>
                <w:rStyle w:val="Hipervnculo"/>
                <w:noProof/>
              </w:rPr>
              <w:t>Pruebas y Verificación: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D985" w14:textId="74F590D6" w:rsidR="00FA75E2" w:rsidRDefault="00FA75E2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967573" w:history="1">
            <w:r w:rsidRPr="006239AE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6239AE">
              <w:rPr>
                <w:rStyle w:val="Hipervnculo"/>
                <w:noProof/>
              </w:rPr>
              <w:t>Solución de Problemas: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8269" w14:textId="46754AA5" w:rsidR="00FA75E2" w:rsidRDefault="00FA75E2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967574" w:history="1">
            <w:r w:rsidRPr="006239AE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6239AE">
              <w:rPr>
                <w:rStyle w:val="Hipervnculo"/>
                <w:noProof/>
              </w:rPr>
              <w:t>Capacitación y Soporte: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CF2F" w14:textId="45C7A75F" w:rsidR="009D505C" w:rsidRDefault="009D505C" w:rsidP="009D505C">
          <w:r>
            <w:rPr>
              <w:b/>
              <w:bCs/>
              <w:lang w:val="es-MX"/>
            </w:rPr>
            <w:fldChar w:fldCharType="end"/>
          </w:r>
        </w:p>
      </w:sdtContent>
    </w:sdt>
    <w:p w14:paraId="5F432639" w14:textId="77777777" w:rsidR="009D505C" w:rsidRDefault="009D505C" w:rsidP="009D505C">
      <w:pPr>
        <w:jc w:val="center"/>
      </w:pPr>
    </w:p>
    <w:p w14:paraId="72CF951A" w14:textId="77777777" w:rsidR="00FA75E2" w:rsidRDefault="00FA75E2" w:rsidP="009D505C">
      <w:pPr>
        <w:jc w:val="center"/>
      </w:pPr>
    </w:p>
    <w:p w14:paraId="02B42686" w14:textId="77777777" w:rsidR="00FA75E2" w:rsidRDefault="00FA75E2" w:rsidP="009D505C">
      <w:pPr>
        <w:jc w:val="center"/>
      </w:pPr>
    </w:p>
    <w:p w14:paraId="191A4614" w14:textId="77777777" w:rsidR="00FA75E2" w:rsidRDefault="00FA75E2" w:rsidP="009D505C">
      <w:pPr>
        <w:jc w:val="center"/>
      </w:pPr>
    </w:p>
    <w:p w14:paraId="48AD11E1" w14:textId="77777777" w:rsidR="00FA75E2" w:rsidRDefault="00FA75E2" w:rsidP="009D505C">
      <w:pPr>
        <w:jc w:val="center"/>
      </w:pPr>
    </w:p>
    <w:p w14:paraId="2E1E44FB" w14:textId="14928BB5" w:rsidR="009D505C" w:rsidRDefault="009D505C" w:rsidP="009D505C">
      <w:pPr>
        <w:pStyle w:val="Ttulo1"/>
      </w:pPr>
      <w:bookmarkStart w:id="0" w:name="_Toc162886270"/>
      <w:bookmarkStart w:id="1" w:name="_Toc162967565"/>
      <w:r w:rsidRPr="00A4368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845DEA" wp14:editId="4713B1F9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3329940" cy="1966595"/>
            <wp:effectExtent l="0" t="0" r="0" b="0"/>
            <wp:wrapTopAndBottom/>
            <wp:docPr id="433850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50638" name="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21239" y1="32723" x2="21077" y2="33809"/>
                                  <a14:foregroundMark x1="15445" y1="37158" x2="14793" y2="36728"/>
                                  <a14:foregroundMark x1="21302" y1="32053" x2="20217" y2="31052"/>
                                  <a14:foregroundMark x1="27022" y1="22705" x2="27318" y2="37229"/>
                                  <a14:foregroundMark x1="38955" y1="22371" x2="39349" y2="28047"/>
                                  <a14:foregroundMark x1="53748" y1="22705" x2="53254" y2="29883"/>
                                  <a14:foregroundMark x1="66765" y1="23038" x2="66963" y2="29716"/>
                                  <a14:foregroundMark x1="78402" y1="22705" x2="78600" y2="29716"/>
                                  <a14:foregroundMark x1="53649" y1="80801" x2="55621" y2="75626"/>
                                  <a14:foregroundMark x1="56607" y1="81636" x2="57692" y2="82137"/>
                                  <a14:backgroundMark x1="22387" y1="28381" x2="20414" y2="26544"/>
                                  <a14:backgroundMark x1="22288" y1="28214" x2="22387" y2="27546"/>
                                  <a14:backgroundMark x1="22584" y1="30384" x2="21400" y2="29382"/>
                                  <a14:backgroundMark x1="22978" y1="28715" x2="21302" y2="30050"/>
                                  <a14:backgroundMark x1="22584" y1="31386" x2="20907" y2="30050"/>
                                  <a14:backgroundMark x1="22978" y1="27546" x2="22978" y2="27546"/>
                                  <a14:backgroundMark x1="23274" y1="27546" x2="21302" y2="27379"/>
                                  <a14:backgroundMark x1="16963" y1="31886" x2="17160" y2="34725"/>
                                  <a14:backgroundMark x1="16864" y1="34558" x2="18442" y2="34057"/>
                                  <a14:backgroundMark x1="18146" y1="34057" x2="17554" y2="34057"/>
                                  <a14:backgroundMark x1="17357" y1="34558" x2="19034" y2="34057"/>
                                  <a14:backgroundMark x1="17357" y1="35392" x2="19231" y2="34224"/>
                                  <a14:backgroundMark x1="16568" y1="36060" x2="18343" y2="33890"/>
                                  <a14:backgroundMark x1="16174" y1="36394" x2="18442" y2="34057"/>
                                  <a14:backgroundMark x1="18540" y1="35893" x2="17554" y2="35058"/>
                                  <a14:backgroundMark x1="17258" y1="36394" x2="19132" y2="37062"/>
                                  <a14:backgroundMark x1="17653" y1="37062" x2="19231" y2="37396"/>
                                  <a14:backgroundMark x1="20710" y1="37062" x2="19822" y2="37563"/>
                                  <a14:backgroundMark x1="20611" y1="37062" x2="19132" y2="39900"/>
                                  <a14:backgroundMark x1="20611" y1="38230" x2="20809" y2="34725"/>
                                  <a14:backgroundMark x1="21203" y1="36394" x2="21105" y2="35893"/>
                                  <a14:backgroundMark x1="21105" y1="35392" x2="20414" y2="34391"/>
                                  <a14:backgroundMark x1="20938" y1="34071" x2="21302" y2="36227"/>
                                  <a14:backgroundMark x1="20907" y1="36227" x2="20316" y2="37563"/>
                                  <a14:backgroundMark x1="16864" y1="37396" x2="15779" y2="37896"/>
                                  <a14:backgroundMark x1="21893" y1="31052" x2="21016" y2="31052"/>
                                  <a14:backgroundMark x1="46450" y1="67279" x2="46450" y2="67780"/>
                                  <a14:backgroundMark x1="44477" y1="72955" x2="44477" y2="72955"/>
                                  <a14:backgroundMark x1="52663" y1="62771" x2="52170" y2="6277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Plan</w:t>
      </w:r>
      <w:r>
        <w:t xml:space="preserve"> de instalación de la plataforma educativa (SRUMPE)</w:t>
      </w:r>
      <w:bookmarkEnd w:id="0"/>
      <w:bookmarkEnd w:id="1"/>
    </w:p>
    <w:p w14:paraId="5A4916B7" w14:textId="77777777" w:rsidR="009D505C" w:rsidRPr="003A06DE" w:rsidRDefault="009D505C" w:rsidP="009D505C"/>
    <w:p w14:paraId="40F959E6" w14:textId="77777777" w:rsidR="009D505C" w:rsidRDefault="009D505C" w:rsidP="009D505C">
      <w:pPr>
        <w:pStyle w:val="Ttulo2"/>
      </w:pPr>
      <w:bookmarkStart w:id="2" w:name="_Toc162886271"/>
      <w:bookmarkStart w:id="3" w:name="_Toc162967566"/>
      <w:r>
        <w:t>Propósito:</w:t>
      </w:r>
      <w:bookmarkEnd w:id="2"/>
      <w:bookmarkEnd w:id="3"/>
    </w:p>
    <w:p w14:paraId="38FAAA37" w14:textId="77777777" w:rsidR="009D505C" w:rsidRDefault="009D505C" w:rsidP="009D505C">
      <w:r>
        <w:t>El propósito de este plan de instalación es implementar la plataforma educativa para facilitar la gestión de datos y automatizar los procesos administrativos en nuestra institución educativa. Se busca proporcionar una experiencia simplificada para administradores, docentes y estudiantes, permitiéndoles gestionar registros de usuarios y notas escolares de manera eficiente.</w:t>
      </w:r>
    </w:p>
    <w:p w14:paraId="47E8C3DD" w14:textId="77777777" w:rsidR="00FA75E2" w:rsidRDefault="00FA75E2" w:rsidP="009D505C"/>
    <w:p w14:paraId="0360DBC6" w14:textId="77777777" w:rsidR="009D505C" w:rsidRDefault="009D505C" w:rsidP="009D505C">
      <w:pPr>
        <w:pStyle w:val="Ttulo2"/>
      </w:pPr>
      <w:bookmarkStart w:id="4" w:name="_Toc162886272"/>
      <w:bookmarkStart w:id="5" w:name="_Toc162967567"/>
      <w:r>
        <w:t>Eslogan:</w:t>
      </w:r>
      <w:bookmarkEnd w:id="4"/>
      <w:bookmarkEnd w:id="5"/>
    </w:p>
    <w:p w14:paraId="35DBDB99" w14:textId="77777777" w:rsidR="009D505C" w:rsidRDefault="009D505C" w:rsidP="009D505C">
      <w:r>
        <w:t>"Un camino transparente hacia el éxito académico: Descubre la excelencia con nuestro innovador sistema de registro de usuarios y notas escolares."</w:t>
      </w:r>
    </w:p>
    <w:p w14:paraId="7C5A031A" w14:textId="77777777" w:rsidR="009D505C" w:rsidRDefault="009D505C" w:rsidP="009D505C"/>
    <w:p w14:paraId="21EDA974" w14:textId="08A2CC40" w:rsidR="009D505C" w:rsidRDefault="009D505C" w:rsidP="009D505C">
      <w:pPr>
        <w:pStyle w:val="Ttulo2"/>
        <w:numPr>
          <w:ilvl w:val="0"/>
          <w:numId w:val="1"/>
        </w:numPr>
      </w:pPr>
      <w:bookmarkStart w:id="6" w:name="_Toc162967568"/>
      <w:r>
        <w:t>Identificación de Requisitos:</w:t>
      </w:r>
      <w:bookmarkEnd w:id="6"/>
    </w:p>
    <w:p w14:paraId="358A925C" w14:textId="77777777" w:rsidR="009D505C" w:rsidRDefault="009D505C" w:rsidP="009D505C">
      <w:r>
        <w:t>Requisitos de Hardware: Se requiere un ordenador con al menos 4 GB de RAM y un procesador Dual-</w:t>
      </w:r>
      <w:proofErr w:type="spellStart"/>
      <w:r>
        <w:t>core</w:t>
      </w:r>
      <w:proofErr w:type="spellEnd"/>
      <w:r>
        <w:t>. Además, es necesario tener espacio en disco suficiente para instalar el software y almacenar los archivos del proyecto.</w:t>
      </w:r>
    </w:p>
    <w:p w14:paraId="201DAC1A" w14:textId="77777777" w:rsidR="009D505C" w:rsidRDefault="009D505C" w:rsidP="009D505C"/>
    <w:p w14:paraId="2D6026FB" w14:textId="77777777" w:rsidR="009D505C" w:rsidRDefault="009D505C" w:rsidP="009D505C">
      <w:r>
        <w:t xml:space="preserve">Requisitos de Software: El sistema operativo compatible incluye Windows 11, 10 y 8. Además, se necesita Node.js versión v18.17.0 o superior, Visual Studio </w:t>
      </w:r>
      <w:proofErr w:type="spellStart"/>
      <w:r>
        <w:t>Code</w:t>
      </w:r>
      <w:proofErr w:type="spellEnd"/>
      <w:r>
        <w:t>, Git y SQL Server.</w:t>
      </w:r>
    </w:p>
    <w:p w14:paraId="5CC4343D" w14:textId="77777777" w:rsidR="009D505C" w:rsidRDefault="009D505C" w:rsidP="009D505C"/>
    <w:p w14:paraId="32C18514" w14:textId="035B62AB" w:rsidR="009D505C" w:rsidRDefault="009D505C" w:rsidP="009D505C">
      <w:pPr>
        <w:pStyle w:val="Ttulo2"/>
        <w:numPr>
          <w:ilvl w:val="0"/>
          <w:numId w:val="1"/>
        </w:numPr>
        <w:ind w:left="284"/>
      </w:pPr>
      <w:bookmarkStart w:id="7" w:name="_Toc162967569"/>
      <w:r>
        <w:t>Preparación del Entorno:</w:t>
      </w:r>
      <w:bookmarkEnd w:id="7"/>
    </w:p>
    <w:p w14:paraId="451B175F" w14:textId="77777777" w:rsidR="009D505C" w:rsidRDefault="009D505C" w:rsidP="009D505C">
      <w:pPr>
        <w:pStyle w:val="Prrafodelista"/>
        <w:numPr>
          <w:ilvl w:val="0"/>
          <w:numId w:val="3"/>
        </w:numPr>
      </w:pPr>
      <w:r>
        <w:t>Descargar e instalar Node.js desde el sitio web oficial.</w:t>
      </w:r>
    </w:p>
    <w:p w14:paraId="3B5C7FD0" w14:textId="77777777" w:rsidR="009D505C" w:rsidRDefault="009D505C" w:rsidP="009D505C">
      <w:pPr>
        <w:pStyle w:val="Prrafodelista"/>
        <w:numPr>
          <w:ilvl w:val="0"/>
          <w:numId w:val="3"/>
        </w:numPr>
      </w:pPr>
      <w:r>
        <w:t xml:space="preserve">Instalar Visual Studio </w:t>
      </w:r>
      <w:proofErr w:type="spellStart"/>
      <w:r>
        <w:t>Code</w:t>
      </w:r>
      <w:proofErr w:type="spellEnd"/>
      <w:r>
        <w:t xml:space="preserve"> y Git en el sistema.</w:t>
      </w:r>
    </w:p>
    <w:p w14:paraId="66A02268" w14:textId="77777777" w:rsidR="009D505C" w:rsidRDefault="009D505C" w:rsidP="009D505C">
      <w:pPr>
        <w:pStyle w:val="Prrafodelista"/>
        <w:numPr>
          <w:ilvl w:val="0"/>
          <w:numId w:val="3"/>
        </w:numPr>
      </w:pPr>
      <w:r>
        <w:t>Descargar e instalar SQL Server desde el sitio web oficial de Microsoft.</w:t>
      </w:r>
    </w:p>
    <w:p w14:paraId="24244E8F" w14:textId="77777777" w:rsidR="009D505C" w:rsidRDefault="009D505C" w:rsidP="009D505C"/>
    <w:p w14:paraId="5940397E" w14:textId="7246E076" w:rsidR="009D505C" w:rsidRDefault="009D505C" w:rsidP="009D505C">
      <w:pPr>
        <w:pStyle w:val="Ttulo2"/>
        <w:numPr>
          <w:ilvl w:val="0"/>
          <w:numId w:val="1"/>
        </w:numPr>
        <w:ind w:left="284"/>
      </w:pPr>
      <w:bookmarkStart w:id="8" w:name="_Toc162967570"/>
      <w:r>
        <w:t>Configuración del Entorno de Desarrollo:</w:t>
      </w:r>
      <w:bookmarkEnd w:id="8"/>
    </w:p>
    <w:p w14:paraId="0FEA6D65" w14:textId="77777777" w:rsidR="009D505C" w:rsidRDefault="009D505C" w:rsidP="009D505C">
      <w:pPr>
        <w:pStyle w:val="Prrafodelista"/>
        <w:numPr>
          <w:ilvl w:val="0"/>
          <w:numId w:val="4"/>
        </w:numPr>
      </w:pPr>
      <w:r>
        <w:t>Clonar o descargar el repositorio del Frontend desde GitHub.</w:t>
      </w:r>
    </w:p>
    <w:p w14:paraId="2F736E45" w14:textId="77777777" w:rsidR="009D505C" w:rsidRDefault="009D505C" w:rsidP="009D505C">
      <w:pPr>
        <w:pStyle w:val="Prrafodelista"/>
        <w:numPr>
          <w:ilvl w:val="0"/>
          <w:numId w:val="4"/>
        </w:numPr>
      </w:pPr>
      <w:r>
        <w:t xml:space="preserve">Abrir el repositorio del Frontend en Visual Studio </w:t>
      </w:r>
      <w:proofErr w:type="spellStart"/>
      <w:r>
        <w:t>Code</w:t>
      </w:r>
      <w:proofErr w:type="spellEnd"/>
      <w:r>
        <w:t>.</w:t>
      </w:r>
    </w:p>
    <w:p w14:paraId="7A5A17D7" w14:textId="77777777" w:rsidR="009D505C" w:rsidRDefault="009D505C" w:rsidP="009D505C">
      <w:pPr>
        <w:pStyle w:val="Prrafodelista"/>
        <w:numPr>
          <w:ilvl w:val="0"/>
          <w:numId w:val="4"/>
        </w:numPr>
      </w:pPr>
      <w:r>
        <w:t xml:space="preserve">Ejecutar los comandos necesarios para instalar las dependencias del proyecto Frontend, como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6F253D14" w14:textId="4B2E856D" w:rsidR="009D505C" w:rsidRDefault="009D505C" w:rsidP="009D505C">
      <w:pPr>
        <w:pStyle w:val="Ttulo2"/>
        <w:numPr>
          <w:ilvl w:val="0"/>
          <w:numId w:val="1"/>
        </w:numPr>
        <w:ind w:left="284"/>
      </w:pPr>
      <w:bookmarkStart w:id="9" w:name="_Toc162967571"/>
      <w:r>
        <w:t>Configuración del Backend:</w:t>
      </w:r>
      <w:bookmarkEnd w:id="9"/>
    </w:p>
    <w:p w14:paraId="02A52553" w14:textId="77777777" w:rsidR="009D505C" w:rsidRDefault="009D505C" w:rsidP="009D505C">
      <w:pPr>
        <w:pStyle w:val="Prrafodelista"/>
        <w:numPr>
          <w:ilvl w:val="0"/>
          <w:numId w:val="5"/>
        </w:numPr>
      </w:pPr>
      <w:r>
        <w:t>Clonar o descargar el repositorio del Backend desde GitHub.</w:t>
      </w:r>
    </w:p>
    <w:p w14:paraId="14959AC6" w14:textId="77777777" w:rsidR="009D505C" w:rsidRDefault="009D505C" w:rsidP="009D505C">
      <w:pPr>
        <w:pStyle w:val="Prrafodelista"/>
        <w:numPr>
          <w:ilvl w:val="0"/>
          <w:numId w:val="5"/>
        </w:numPr>
      </w:pPr>
      <w:r>
        <w:t>Abrir el repositorio del Backend en Visual Studio.</w:t>
      </w:r>
    </w:p>
    <w:p w14:paraId="4A5F6B8F" w14:textId="77777777" w:rsidR="009D505C" w:rsidRDefault="009D505C" w:rsidP="009D505C">
      <w:pPr>
        <w:pStyle w:val="Prrafodelista"/>
        <w:numPr>
          <w:ilvl w:val="0"/>
          <w:numId w:val="5"/>
        </w:numPr>
      </w:pPr>
      <w:r>
        <w:t>Configurar las variables de entorno y conexión a la base de datos en el proyecto Backend.</w:t>
      </w:r>
    </w:p>
    <w:p w14:paraId="66C4BF33" w14:textId="77777777" w:rsidR="009D505C" w:rsidRDefault="009D505C" w:rsidP="009D505C"/>
    <w:p w14:paraId="37CE13AB" w14:textId="02352F57" w:rsidR="009D505C" w:rsidRDefault="009D505C" w:rsidP="009D505C">
      <w:pPr>
        <w:pStyle w:val="Ttulo2"/>
        <w:numPr>
          <w:ilvl w:val="0"/>
          <w:numId w:val="1"/>
        </w:numPr>
        <w:ind w:left="284"/>
      </w:pPr>
      <w:bookmarkStart w:id="10" w:name="_Toc162967572"/>
      <w:r>
        <w:lastRenderedPageBreak/>
        <w:t>Pruebas y Verificación:</w:t>
      </w:r>
      <w:bookmarkEnd w:id="10"/>
    </w:p>
    <w:p w14:paraId="77D565D4" w14:textId="77777777" w:rsidR="009D505C" w:rsidRDefault="009D505C" w:rsidP="009D505C">
      <w:pPr>
        <w:pStyle w:val="Prrafodelista"/>
        <w:numPr>
          <w:ilvl w:val="0"/>
          <w:numId w:val="7"/>
        </w:numPr>
      </w:pPr>
      <w:r>
        <w:t>Realizar pruebas de funcionalidad en el Frontend y Backend para asegurarse de que ambos están funcionando correctamente.</w:t>
      </w:r>
    </w:p>
    <w:p w14:paraId="50B066A2" w14:textId="77777777" w:rsidR="009D505C" w:rsidRDefault="009D505C" w:rsidP="009D505C">
      <w:pPr>
        <w:pStyle w:val="Prrafodelista"/>
        <w:numPr>
          <w:ilvl w:val="0"/>
          <w:numId w:val="7"/>
        </w:numPr>
      </w:pPr>
      <w:r>
        <w:t>Verificar la conexión entre el Frontend y el Backend para garantizar la comunicación adecuada entre ambos componentes.</w:t>
      </w:r>
    </w:p>
    <w:p w14:paraId="46E06716" w14:textId="77777777" w:rsidR="009D505C" w:rsidRDefault="009D505C" w:rsidP="009D505C"/>
    <w:p w14:paraId="4E19EC28" w14:textId="29A651D0" w:rsidR="009D505C" w:rsidRDefault="009D505C" w:rsidP="009D505C">
      <w:pPr>
        <w:pStyle w:val="Ttulo2"/>
        <w:numPr>
          <w:ilvl w:val="0"/>
          <w:numId w:val="1"/>
        </w:numPr>
        <w:ind w:left="284"/>
      </w:pPr>
      <w:bookmarkStart w:id="11" w:name="_Toc162967573"/>
      <w:r>
        <w:t>Solución de Problemas:</w:t>
      </w:r>
      <w:bookmarkEnd w:id="11"/>
    </w:p>
    <w:p w14:paraId="5385A441" w14:textId="77777777" w:rsidR="009D505C" w:rsidRDefault="009D505C" w:rsidP="00FA75E2">
      <w:pPr>
        <w:pStyle w:val="Prrafodelista"/>
        <w:numPr>
          <w:ilvl w:val="0"/>
          <w:numId w:val="11"/>
        </w:numPr>
      </w:pPr>
      <w:r>
        <w:t>Documentar problemas comunes y sus soluciones en un repositorio de conocimientos, proporcionando recursos adicionales de soporte, como documentación técnica detallada y foros de comunidad.</w:t>
      </w:r>
    </w:p>
    <w:p w14:paraId="48FB36C4" w14:textId="77777777" w:rsidR="009D505C" w:rsidRDefault="009D505C" w:rsidP="00FA75E2">
      <w:pPr>
        <w:pStyle w:val="Prrafodelista"/>
        <w:numPr>
          <w:ilvl w:val="0"/>
          <w:numId w:val="11"/>
        </w:numPr>
      </w:pPr>
      <w:r>
        <w:t>Proporcionar acceso a recursos adicionales de soporte, como líneas de ayuda técnica y asistencia en línea, para ayudar a los usuarios a resolver problemas de manera eficiente.</w:t>
      </w:r>
    </w:p>
    <w:p w14:paraId="6D99DDD7" w14:textId="77777777" w:rsidR="00FA75E2" w:rsidRDefault="00FA75E2" w:rsidP="00FA75E2"/>
    <w:p w14:paraId="4D32C471" w14:textId="368DAC1F" w:rsidR="009D505C" w:rsidRDefault="009D505C" w:rsidP="009D505C">
      <w:pPr>
        <w:pStyle w:val="Ttulo2"/>
        <w:numPr>
          <w:ilvl w:val="0"/>
          <w:numId w:val="1"/>
        </w:numPr>
        <w:ind w:left="284"/>
      </w:pPr>
      <w:bookmarkStart w:id="12" w:name="_Toc162967574"/>
      <w:r>
        <w:t>Capacitación y Soporte:</w:t>
      </w:r>
      <w:bookmarkEnd w:id="12"/>
    </w:p>
    <w:p w14:paraId="2FA7037C" w14:textId="6FBD8295" w:rsidR="009D505C" w:rsidRDefault="009D505C" w:rsidP="00FA75E2">
      <w:pPr>
        <w:pStyle w:val="Prrafodelista"/>
        <w:numPr>
          <w:ilvl w:val="0"/>
          <w:numId w:val="12"/>
        </w:numPr>
      </w:pPr>
      <w:r>
        <w:t xml:space="preserve">Ofrecer capacitación y soporte técnico para usuarios finales, administradores del sistema y otros </w:t>
      </w:r>
      <w:proofErr w:type="spellStart"/>
      <w:r>
        <w:t>stakeholders</w:t>
      </w:r>
      <w:proofErr w:type="spellEnd"/>
      <w:r>
        <w:t>, proporcionando recursos adicionales</w:t>
      </w:r>
      <w:r w:rsidR="00FA75E2">
        <w:t xml:space="preserve"> </w:t>
      </w:r>
      <w:r>
        <w:t>y material de referencia.</w:t>
      </w:r>
    </w:p>
    <w:p w14:paraId="082CE5A3" w14:textId="5447911A" w:rsidR="00126150" w:rsidRDefault="009D505C" w:rsidP="00FA75E2">
      <w:pPr>
        <w:pStyle w:val="Prrafodelista"/>
        <w:numPr>
          <w:ilvl w:val="0"/>
          <w:numId w:val="12"/>
        </w:numPr>
      </w:pPr>
      <w:r>
        <w:t>Establecer un canal de comunicación dedicado, un correo electrónico de contacto, para que los usuarios puedan enviar consultas y recibir respuestas rápidas y precisas.</w:t>
      </w:r>
    </w:p>
    <w:sectPr w:rsidR="00126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0C51"/>
    <w:multiLevelType w:val="hybridMultilevel"/>
    <w:tmpl w:val="2552FF3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5D8"/>
    <w:multiLevelType w:val="hybridMultilevel"/>
    <w:tmpl w:val="F96E873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B6943"/>
    <w:multiLevelType w:val="hybridMultilevel"/>
    <w:tmpl w:val="162E40A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C7949"/>
    <w:multiLevelType w:val="hybridMultilevel"/>
    <w:tmpl w:val="657807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57F61"/>
    <w:multiLevelType w:val="hybridMultilevel"/>
    <w:tmpl w:val="DE306F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41A78"/>
    <w:multiLevelType w:val="hybridMultilevel"/>
    <w:tmpl w:val="348E94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B2631"/>
    <w:multiLevelType w:val="hybridMultilevel"/>
    <w:tmpl w:val="D966C73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B0CC0"/>
    <w:multiLevelType w:val="hybridMultilevel"/>
    <w:tmpl w:val="9B1E632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14F85"/>
    <w:multiLevelType w:val="hybridMultilevel"/>
    <w:tmpl w:val="C4EE939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E76BF"/>
    <w:multiLevelType w:val="hybridMultilevel"/>
    <w:tmpl w:val="AA6687B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16F3A"/>
    <w:multiLevelType w:val="hybridMultilevel"/>
    <w:tmpl w:val="7DE2DE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54030"/>
    <w:multiLevelType w:val="hybridMultilevel"/>
    <w:tmpl w:val="7B6407F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58103">
    <w:abstractNumId w:val="10"/>
  </w:num>
  <w:num w:numId="2" w16cid:durableId="1056054684">
    <w:abstractNumId w:val="5"/>
  </w:num>
  <w:num w:numId="3" w16cid:durableId="1078013191">
    <w:abstractNumId w:val="0"/>
  </w:num>
  <w:num w:numId="4" w16cid:durableId="400060236">
    <w:abstractNumId w:val="4"/>
  </w:num>
  <w:num w:numId="5" w16cid:durableId="1615096378">
    <w:abstractNumId w:val="11"/>
  </w:num>
  <w:num w:numId="6" w16cid:durableId="1884057612">
    <w:abstractNumId w:val="9"/>
  </w:num>
  <w:num w:numId="7" w16cid:durableId="1835873091">
    <w:abstractNumId w:val="8"/>
  </w:num>
  <w:num w:numId="8" w16cid:durableId="845752660">
    <w:abstractNumId w:val="7"/>
  </w:num>
  <w:num w:numId="9" w16cid:durableId="1077628456">
    <w:abstractNumId w:val="6"/>
  </w:num>
  <w:num w:numId="10" w16cid:durableId="179392483">
    <w:abstractNumId w:val="3"/>
  </w:num>
  <w:num w:numId="11" w16cid:durableId="2051567339">
    <w:abstractNumId w:val="1"/>
  </w:num>
  <w:num w:numId="12" w16cid:durableId="1270508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5C"/>
    <w:rsid w:val="00126150"/>
    <w:rsid w:val="009D505C"/>
    <w:rsid w:val="00C63D60"/>
    <w:rsid w:val="00D65F9E"/>
    <w:rsid w:val="00FA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4EAF"/>
  <w15:chartTrackingRefBased/>
  <w15:docId w15:val="{681BF73A-E819-4E2F-BF20-0ECD2F8A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05C"/>
    <w:pPr>
      <w:spacing w:line="48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D505C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05C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505C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5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5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5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5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5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05C"/>
    <w:rPr>
      <w:rFonts w:ascii="Arial" w:eastAsiaTheme="majorEastAsia" w:hAnsi="Arial" w:cstheme="majorBidi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D505C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D505C"/>
    <w:rPr>
      <w:rFonts w:ascii="Arial" w:eastAsiaTheme="majorEastAsia" w:hAnsi="Arial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50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0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50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50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50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50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5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5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5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5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5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50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50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50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5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50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505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D505C"/>
    <w:rPr>
      <w:color w:val="467886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9D505C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D50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505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D50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0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gualteros</dc:creator>
  <cp:keywords/>
  <dc:description/>
  <cp:lastModifiedBy>jeison gualteros</cp:lastModifiedBy>
  <cp:revision>1</cp:revision>
  <dcterms:created xsi:type="dcterms:W3CDTF">2024-04-02T21:13:00Z</dcterms:created>
  <dcterms:modified xsi:type="dcterms:W3CDTF">2024-04-02T21:36:00Z</dcterms:modified>
</cp:coreProperties>
</file>