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Matriz de Riesgo del Proyecto</w:t>
      </w:r>
    </w:p>
    <w:p>
      <w:pPr>
        <w:spacing w:after="200"/>
      </w:pPr>
      <w:r>
        <w:rPr>
          <w:sz w:val="18"/>
          <w:szCs w:val="18"/>
        </w:rPr>
        <w:t xml:space="preserve">Escala: la Probabilidad y el Impacto se valoran como Bajo (1), Medio (2) o Alto (3). El Nivel de riesgo resulta de multiplicar Probabilidad por Impacto: Bajo (1–2), Moderado (3–4) y Alto (6–9).</w:t>
      </w:r>
    </w:p>
    <w:tbl>
      <w:tblPr>
        <w:tblW w:type="dxa" w:w="12140"/>
        <w:tblBorders>
          <w:top w:val="single" w:color="B0B8C4" w:sz="4"/>
          <w:left w:val="single" w:color="B0B8C4" w:sz="4"/>
          <w:bottom w:val="single" w:color="B0B8C4" w:sz="4"/>
          <w:right w:val="single" w:color="B0B8C4" w:sz="4"/>
          <w:insideH w:val="single" w:color="B0B8C4" w:sz="4"/>
          <w:insideV w:val="single" w:color="B0B8C4" w:sz="4"/>
        </w:tblBorders>
      </w:tblPr>
      <w:tblGrid>
        <w:gridCol w:w="420"/>
        <w:gridCol w:w="2650"/>
        <w:gridCol w:w="1500"/>
        <w:gridCol w:w="900"/>
        <w:gridCol w:w="900"/>
        <w:gridCol w:w="1000"/>
        <w:gridCol w:w="4770"/>
      </w:tblGrid>
      <w:tr>
        <w:trPr>
          <w:tblHeader/>
        </w:trPr>
        <w:tc>
          <w:tcPr>
            <w:tcW w:type="dxa" w:w="42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5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90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00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770"/>
            <w:shd w:fill="2E4A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 de mitigación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de credenciales sensibles del servidor (clave de servicio de Supabase, secreto de firma del token, contraseña de correo) por servirse desde una ruta pública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Controlador frontal con lista blanca de rutas y extensiones; los secretos se cargan como variables de entorno en el proveedor de nube y nunca en el repositorio; la clave de servicio se usa solo en el backend.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Configuración incorrecta de las políticas de acceso por rol o tabla que permita a un usuario ver o modificar datos que no le corresponden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Autorización centralizada en la pasarela de datos (lista blanca de tablas, roles de lectura/escritura y columnas), guardas de propiedad de registros, pruebas automatizadas sobre las políticas y proceso de auditoría por fases sobre el esquema.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Indisponibilidad o cambios en los servicios de terceros de los que depende el sistema (base de datos, correo, hosting)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Técnico / Externo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Formato de respuesta y manejo de errores homogéneo; endpoints de verificación de estado; transporte de correo con mecanismo primario (API) y respaldo (SMTP); esquema versionado en scripts SQL reejecutables para reconstruir el entorno.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Limitaciones del plan gratuito del hosting (suspensión por inactividad, bloqueo de puertos SMTP salientes, recursos reducidos)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Técnico / Externo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Envío de correo por API HTTP en producción; sondas de salud para el reinicio; diseño liviano en un único contenedor; posibilidad de escalar al plan de pago sin cambios de código.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Pérdida de sesión frecuente por la corta vigencia del token (5 minutos) que afecte la experiencia de uso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Técnico / Usabilidad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Renovación automática y transparente del token mediante el token de refresco; control de una sola renovación concurrente en el cliente.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 incompletos o cambiantes por parte de la iglesia durante el desarrollo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/ Alcance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Definición y validación del alcance con la contraparte; desarrollo incremental por módulos; registro de los cambios de alcance.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Retraso en el cronograma por tratarse de un equipo reducido con disponibilidad parcial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Priorización de los módulos esenciales; canalización de calidad automatizada (análisis estático, estilo y pruebas) que reduce el retrabajo; hitos parciales verificables.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Errores introducidos en cambios posteriores que rompan funcionalidad ya entregada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Técnico / Calidad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continua que bloquea la fusión ante fallos de sintaxis, análisis estático o pruebas; batería de pruebas de lógica sin dependencias de red ni base de datos.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R9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inicial de datos deficiente o incompleta al registrar manualmente la información que estaba en papel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Operativo / Datos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formularios en el cliente y en el servidor; restricciones de integridad en la base de datos; capacitación y documentación de usuario para el registro inicial.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R10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adopción por parte de los usuarios acostumbrados al proceso manual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 sencilla y adaptable a móvil; entrega de documentación y guía de usuario; acompañamiento en la puesta en marcha.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R11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Pérdida de información por ausencia de copias de respaldo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Operativo / Datos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la copia de seguridad gestionada por el proveedor de base de datos; esquema y datos de catálogo versionados en scripts.</w:t>
            </w:r>
          </w:p>
        </w:tc>
      </w:tr>
      <w:tr>
        <w:tc>
          <w:tcPr>
            <w:tcW w:type="dxa" w:w="42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R12</w:t>
            </w:r>
          </w:p>
        </w:tc>
        <w:tc>
          <w:tcPr>
            <w:tcW w:type="dxa" w:w="265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Ataques automatizados contra el inicio de sesión o los endpoints públicos</w:t>
            </w:r>
          </w:p>
        </w:tc>
        <w:tc>
          <w:tcPr>
            <w:tcW w:type="dxa" w:w="15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100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4770"/>
            <w:shd w:fill="EE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Bloqueo por intentos fallidos, límite de tasa por dirección IP, saneamiento de entradas, respuestas que no revelan si una cuenta existe y cabeceras de seguridad.</w:t>
            </w:r>
          </w:p>
        </w:tc>
      </w:tr>
      <w:t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R13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Pérdida de conocimiento del proyecto por concentrarse en pocas personas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47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Documentación técnica, comentarios en el código y estándar de codificación definido; historial de cambios en el repositorio.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2026-09-08T19:34:29.017Z</dcterms:created>
  <dcterms:modified xsi:type="dcterms:W3CDTF">2026-09-08T19:34:29.018Z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