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PLANEACIÓN DE LA AUTOEVALUACIÓN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60.0" w:type="dxa"/>
        <w:jc w:val="left"/>
        <w:tblInd w:w="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8445"/>
        <w:tblGridChange w:id="0">
          <w:tblGrid>
            <w:gridCol w:w="1815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planeación de la  autoevaluación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aseguramiento de la calidad de la Universidad de Manizales. Inicia en la revisión y análisis de los informes de autoevaluación y acreditación tanto institucional como de programas de pregrado y posgrado y culmina en la planeación y difusión de resultados.</w:t>
                </w:r>
              </w:p>
            </w:sdtContent>
          </w:sdt>
        </w:tc>
      </w:tr>
      <w:tr>
        <w:trPr>
          <w:trHeight w:val="56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6978 de mayo 15 de 2015 de acreditación institucional</w:t>
                </w:r>
              </w:p>
            </w:sdtContent>
          </w:sdt>
        </w:tc>
      </w:tr>
      <w:tr>
        <w:trPr>
          <w:trHeight w:val="1320" w:hRule="atLeast"/>
        </w:trPr>
        <w:tc>
          <w:tcPr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Autoevaluación Institucional: proceso de observación bajo un marco conceptual y un enfoque metodológico. Cuando la Institución autoevalúa una unidad, aplica su propio modelo de observación, es decir, bajo ciertos criterios que responden a sus procesos misionales, sus conocimientos acumulados, el desarrollo de los conceptos de gestión y organización, como también a su concepción de calidad.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de programas de pregrado y posgrado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de acreditación de programas de pregrado y posgrado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Institucional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mantenimiento y mejoramiento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Lineamientos del CNA-MEN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desarrollo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Cuadros maestros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visita pares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revisión y análisis de los informes de autoevaluación y acreditación tanto institucional como de programas de pregrado y posgrado.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Evaluar la ejecución de los planes de mantenimiento y mejoramiento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el cronograma de actividades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PI-FOR-003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sensibilización del proceso a la Comunidad Académica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recolección, análisis y construcción de informes por factor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construcción del informe de autoevaluación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Planear la difusión y discusión de  Resultados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</w:tbl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Planeación Institucional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de cronograma de actividades de la acreditación institucional</w:t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PI-FOR-003</w:t>
                </w:r>
              </w:p>
            </w:sdtContent>
          </w:sdt>
        </w:tc>
      </w:tr>
    </w:tbl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8"/>
    </w:sdtPr>
    <w:sdtContent>
      <w:p w:rsidR="00000000" w:rsidDel="00000000" w:rsidP="00000000" w:rsidRDefault="00000000" w:rsidRPr="00000000" w14:paraId="0000009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4"/>
    </w:sdtPr>
    <w:sdtContent>
      <w:p w:rsidR="00000000" w:rsidDel="00000000" w:rsidP="00000000" w:rsidRDefault="00000000" w:rsidRPr="00000000" w14:paraId="0000007D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PLANEACIÓN DE LA  AUTOEVALUACIÓN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6"/>
    </w:sdtPr>
    <w:sdtContent>
      <w:p w:rsidR="00000000" w:rsidDel="00000000" w:rsidP="00000000" w:rsidRDefault="00000000" w:rsidRPr="00000000" w14:paraId="00000093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ThrDNwnTPeXzsKJqJaEym2g1g==">AMUW2mUYqzY4vNl4v89CdLE/MHRqsYPVHNFkcqUq8q0Jihtu4vwv34ASo2D++Dqm4pAPXQDuyF9FJvY/15EcCegyDeNQRXPE2GeKbAtSTK6lK1DAIIJlBdsjzBrXUSrhqlqwWmMo5akR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