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vertAlign w:val="baseline"/>
              <w:rtl w:val="0"/>
            </w:rPr>
            <w:tab/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jc w:val="center"/>
            <w:rPr>
              <w:rFonts w:ascii="Arial" w:cs="Arial" w:eastAsia="Arial" w:hAnsi="Arial"/>
              <w:b w:val="0"/>
              <w:i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vertAlign w:val="baseline"/>
              <w:rtl w:val="0"/>
            </w:rPr>
            <w:t xml:space="preserve"> PROCEDI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MIENTO PARA LA GESTIÓN DEL CAMBIO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6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93"/>
        <w:gridCol w:w="8585"/>
        <w:tblGridChange w:id="0">
          <w:tblGrid>
            <w:gridCol w:w="2093"/>
            <w:gridCol w:w="8585"/>
          </w:tblGrid>
        </w:tblGridChange>
      </w:tblGrid>
      <w:tr>
        <w:trPr>
          <w:trHeight w:val="600" w:hRule="atLeast"/>
        </w:trPr>
        <w:tc>
          <w:tcPr>
            <w:vAlign w:val="top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vAlign w:val="top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vAlign w:val="top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vAlign w:val="top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jc w:val="center"/>
                  <w:rPr>
                    <w:rFonts w:ascii="Arial" w:cs="Arial" w:eastAsia="Arial" w:hAnsi="Arial"/>
                    <w:b w:val="0"/>
                    <w:sz w:val="20"/>
                    <w:szCs w:val="2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vertAlign w:val="baseline"/>
                    <w:rtl w:val="0"/>
                  </w:rPr>
                  <w:t xml:space="preserve">MOTIVO DEL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53"/>
        <w:gridCol w:w="8056"/>
        <w:tblGridChange w:id="0">
          <w:tblGrid>
            <w:gridCol w:w="2453"/>
            <w:gridCol w:w="8056"/>
          </w:tblGrid>
        </w:tblGridChange>
      </w:tblGrid>
      <w:tr>
        <w:trPr>
          <w:trHeight w:val="840" w:hRule="atLeast"/>
        </w:trPr>
        <w:tc>
          <w:tcPr>
            <w:vMerge w:val="restart"/>
            <w:shd w:fill="f3f3f3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OBJETIVO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restart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una descripción detallada de las actividades referentes a la Gestión del Cambio que pueda afectar los procesos de la institución.</w:t>
                </w:r>
              </w:p>
            </w:sdtContent>
          </w:sdt>
        </w:tc>
      </w:tr>
      <w:tr>
        <w:trPr>
          <w:trHeight w:val="220" w:hRule="atLeast"/>
        </w:trPr>
        <w:tc>
          <w:tcPr>
            <w:vMerge w:val="continue"/>
            <w:shd w:fill="f3f3f3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f3f3f3" w:val="clear"/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ALCANCE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en la identificación y registro del cambio y culmina en la actualización de la matriz de riesgos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MARCO NORMATIVO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Constitución Política de 1991, Artículo 67, establece que la Educación Superior es un servicio público, tiene una función social. Artículo 69, garantiza la autonomía universitario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Resoluciones del Ministerio de Educación para el Registro Calificado y Acreditación de programas e Institucional</w:t>
                </w:r>
              </w:p>
            </w:sdtContent>
          </w:sdt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Ley 30 de 1992, Por la cual se organiza el servicio público de la Educación Superior.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DEFINICIONES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ind w:left="0" w:firstLine="0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Cambio: Modificación de un proceso, equipo, instalación, maquinaria (incluyendo nuevas adquisiciones) que pueda alterar las condiciones de seguridad y salud en el trabajo de manera significativa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40" w:hRule="atLeast"/>
        </w:trPr>
        <w:tc>
          <w:tcPr>
            <w:shd w:fill="f3f3f3" w:val="clear"/>
            <w:vAlign w:val="cente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DOCUMENTOS DE REFERENCIA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Norma ISO 9001:2015</w:t>
                </w:r>
              </w:p>
            </w:sdtContent>
          </w:sdt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Sistema de Planificación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Planes de desarrollo Institucional y de Facultad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Informes de Auditorías</w:t>
                </w:r>
              </w:p>
            </w:sdtContent>
          </w:sdt>
        </w:tc>
      </w:tr>
    </w:tbl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7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9"/>
        <w:gridCol w:w="2351"/>
        <w:gridCol w:w="7464"/>
        <w:tblGridChange w:id="0">
          <w:tblGrid>
            <w:gridCol w:w="939"/>
            <w:gridCol w:w="2351"/>
            <w:gridCol w:w="7464"/>
          </w:tblGrid>
        </w:tblGridChange>
      </w:tblGrid>
      <w:tr>
        <w:trPr>
          <w:trHeight w:val="760" w:hRule="atLeast"/>
        </w:trPr>
        <w:tc>
          <w:tcPr>
            <w:shd w:fill="92d050" w:val="clear"/>
            <w:vAlign w:val="top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PASO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RESPONSABLE/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  <w:b w:val="0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vertAlign w:val="baseline"/>
                    <w:rtl w:val="0"/>
                  </w:rPr>
                  <w:t xml:space="preserve">DEPENDENCIA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92d050" w:val="clear"/>
            <w:vAlign w:val="top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jc w:val="center"/>
                  <w:rPr>
                    <w:rFonts w:ascii="Arial" w:cs="Arial" w:eastAsia="Arial" w:hAnsi="Arial"/>
                    <w:b w:val="0"/>
                    <w:sz w:val="28"/>
                    <w:szCs w:val="2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vertAlign w:val="baseline"/>
                    <w:rtl w:val="0"/>
                  </w:rPr>
                  <w:t xml:space="preserve"> DE LA ACTIVIDAD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 Interno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Identificación y registro del cambio</w:t>
                </w:r>
              </w:p>
            </w:sdtContent>
          </w:sdt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Identificar el cambio y registrarlos en GC-FOR-015</w:t>
                </w:r>
              </w:p>
            </w:sdtContent>
          </w:sdt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spacing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  <w:b w:val="1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 Interno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Determinar impacto del cambio</w:t>
                </w:r>
              </w:p>
            </w:sdtContent>
          </w:sdt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cambio puede alterar las condiciones de seguridad y salud en el trabajo de los procesos de la Universidad de Manizales, se deben identificar los peligros y evaluar los riesgos derivados del mismo. Además se deben establecer controles para la mitigación o eliminación de los peligros. Si no se presentan las condiciones anteriormente mencionadas, se emiten las recomendaciones en materia de seguridad y salud en el trabajo y finaliza el procedimiento.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Registrar GC-FOR-015</w:t>
                </w:r>
              </w:p>
            </w:sdtContent>
          </w:sdt>
        </w:tc>
      </w:tr>
      <w:tr>
        <w:trPr>
          <w:trHeight w:val="300" w:hRule="atLeast"/>
        </w:trPr>
        <w:tc>
          <w:tcPr>
            <w:vAlign w:val="top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Responsable del proceso en el que se realizó el cambio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spacing w:after="200" w:line="276" w:lineRule="auto"/>
                  <w:ind w:left="0" w:firstLine="0"/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Autorizar el cambio y los controles para la gestión del riesgo.</w:t>
                </w:r>
              </w:p>
            </w:sdtContent>
          </w:sdt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Registrar GC-FOR-015</w:t>
                </w:r>
              </w:p>
            </w:sdtContent>
          </w:sdt>
        </w:tc>
      </w:tr>
      <w:tr>
        <w:trPr>
          <w:trHeight w:val="240" w:hRule="atLeast"/>
        </w:trPr>
        <w:tc>
          <w:tcPr>
            <w:vAlign w:val="top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 Interno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spacing w:after="200" w:line="276" w:lineRule="auto"/>
                  <w:ind w:left="0" w:firstLine="0"/>
                  <w:jc w:val="both"/>
                  <w:rPr>
                    <w:rFonts w:ascii="Arial" w:cs="Arial" w:eastAsia="Arial" w:hAnsi="Arial"/>
                    <w:highlight w:val="yellow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highlight w:val="yellow"/>
                    <w:rtl w:val="0"/>
                  </w:rPr>
                  <w:t xml:space="preserve">Actualizar el plan de capacitación anual y el plan de trabajo anual en control interno, con los controles del cambio.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Implementar y realizar seguimiento a los controles establecidos para la gestión del cambio y comunicar a Control Interno</w:t>
                </w:r>
              </w:p>
            </w:sdtContent>
          </w:sdt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ind w:left="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ind w:left="0" w:firstLine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NOTA: Si los controles no fueron eficaces, se debe repetir el paso 2; de lo contrario sigue el paso </w:t>
                </w:r>
              </w:p>
            </w:sdtContent>
          </w:sdt>
        </w:tc>
      </w:tr>
      <w:tr>
        <w:tc>
          <w:tcPr>
            <w:vAlign w:val="top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Control Interno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los controles fueron eficaces, se debe actualizar la matriz de riesgos y realizar seguimiento del procedimiento de gestión del riesgo GC-PRO-007.</w:t>
                </w:r>
              </w:p>
            </w:sdtContent>
          </w:sdt>
        </w:tc>
      </w:tr>
    </w:tbl>
    <w:sdt>
      <w:sdtPr>
        <w:tag w:val="goog_rdk_102"/>
      </w:sdtPr>
      <w:sdtContent>
        <w:p w:rsidR="00000000" w:rsidDel="00000000" w:rsidP="00000000" w:rsidRDefault="00000000" w:rsidRPr="00000000" w14:paraId="00000067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3"/>
      </w:sdtPr>
      <w:sdtContent>
        <w:p w:rsidR="00000000" w:rsidDel="00000000" w:rsidP="00000000" w:rsidRDefault="00000000" w:rsidRPr="00000000" w14:paraId="00000068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vertAlign w:val="baseline"/>
              <w:rtl w:val="0"/>
            </w:rPr>
            <w:t xml:space="preserve">DOCUMENTOS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4"/>
      </w:sdtPr>
      <w:sdtContent>
        <w:p w:rsidR="00000000" w:rsidDel="00000000" w:rsidP="00000000" w:rsidRDefault="00000000" w:rsidRPr="00000000" w14:paraId="00000069">
          <w:pPr>
            <w:rPr>
              <w:rFonts w:ascii="Arial" w:cs="Arial" w:eastAsia="Arial" w:hAnsi="Arial"/>
              <w:b w:val="0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vertAlign w:val="baseline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jc w:val="center"/>
                  <w:rPr>
                    <w:rFonts w:ascii="Arial" w:cs="Arial" w:eastAsia="Arial" w:hAnsi="Arial"/>
                    <w:b w:val="0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  <w:sz w:val="18"/>
                    <w:szCs w:val="18"/>
                    <w:vertAlign w:val="baseli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la Calidad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top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GC-CRT-001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Procedimiento para la gestión del riesgo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GC-PRO-007</w:t>
                </w:r>
              </w:p>
            </w:sdtContent>
          </w:sdt>
        </w:tc>
      </w:tr>
    </w:tbl>
    <w:sdt>
      <w:sdtPr>
        <w:tag w:val="goog_rdk_111"/>
      </w:sdtPr>
      <w:sdtContent>
        <w:p w:rsidR="00000000" w:rsidDel="00000000" w:rsidP="00000000" w:rsidRDefault="00000000" w:rsidRPr="00000000" w14:paraId="0000007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>
            <w:vAlign w:val="center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center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jc w:val="center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Solicitud y autorización del cambio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GC-FOR-015</w:t>
                </w:r>
              </w:p>
            </w:sdtContent>
          </w:sdt>
        </w:tc>
      </w:tr>
      <w:tr>
        <w:trPr>
          <w:trHeight w:val="280" w:hRule="atLeast"/>
        </w:trPr>
        <w:tc>
          <w:tcPr>
            <w:vAlign w:val="top"/>
          </w:tcPr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Formato Matriz de riesgos</w:t>
                </w:r>
              </w:p>
            </w:sdtContent>
          </w:sdt>
        </w:tc>
        <w:tc>
          <w:tcPr>
            <w:vAlign w:val="top"/>
          </w:tcPr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GC-FOR-017</w:t>
                </w:r>
              </w:p>
            </w:sdtContent>
          </w:sdt>
        </w:tc>
      </w:tr>
    </w:tbl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rPr>
              <w:rFonts w:ascii="Arial" w:cs="Arial" w:eastAsia="Arial" w:hAnsi="Arial"/>
              <w:sz w:val="18"/>
              <w:szCs w:val="18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45"/>
    </w:sdtPr>
    <w:sdtContent>
      <w:p w:rsidR="00000000" w:rsidDel="00000000" w:rsidP="00000000" w:rsidRDefault="00000000" w:rsidRPr="00000000" w14:paraId="00000092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21"/>
    </w:sdtPr>
    <w:sdtContent>
      <w:p w:rsidR="00000000" w:rsidDel="00000000" w:rsidP="00000000" w:rsidRDefault="00000000" w:rsidRPr="00000000" w14:paraId="0000007A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  <w:r w:rsidDel="00000000" w:rsidR="00000000" w:rsidRPr="00000000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3638550</wp:posOffset>
              </wp:positionH>
              <wp:positionV relativeFrom="paragraph">
                <wp:posOffset>209550</wp:posOffset>
              </wp:positionV>
              <wp:extent cx="962025" cy="992405"/>
              <wp:effectExtent b="0" l="0" r="0" t="0"/>
              <wp:wrapSquare wrapText="bothSides" distB="114300" distT="114300" distL="114300" distR="114300"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9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w:r>
      </w:p>
    </w:sdtContent>
  </w:sdt>
  <w:tbl>
    <w:tblPr>
      <w:tblStyle w:val="Table7"/>
      <w:tblW w:w="10515.0" w:type="dxa"/>
      <w:jc w:val="left"/>
      <w:tblInd w:w="100.0" w:type="pc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600"/>
    </w:tblPr>
    <w:tblGrid>
      <w:gridCol w:w="2235"/>
      <w:gridCol w:w="3435"/>
      <w:gridCol w:w="1620"/>
      <w:gridCol w:w="1455"/>
      <w:gridCol w:w="1770"/>
      <w:tblGridChange w:id="0">
        <w:tblGrid>
          <w:gridCol w:w="2235"/>
          <w:gridCol w:w="3435"/>
          <w:gridCol w:w="1620"/>
          <w:gridCol w:w="1455"/>
          <w:gridCol w:w="1770"/>
        </w:tblGrid>
      </w:tblGridChange>
    </w:tblGrid>
    <w:tr>
      <w:trPr>
        <w:trHeight w:val="360" w:hRule="atLeast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2"/>
          </w:sdtPr>
          <w:sdtContent>
            <w:p w:rsidR="00000000" w:rsidDel="00000000" w:rsidP="00000000" w:rsidRDefault="00000000" w:rsidRPr="00000000" w14:paraId="0000007B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114300" distT="114300" distL="114300" distR="114300" hidden="0" layoutInCell="1" locked="0" relativeHeight="0" simplePos="0">
                    <wp:simplePos x="0" y="0"/>
                    <wp:positionH relativeFrom="column">
                      <wp:posOffset>180975</wp:posOffset>
                    </wp:positionH>
                    <wp:positionV relativeFrom="paragraph">
                      <wp:posOffset>85726</wp:posOffset>
                    </wp:positionV>
                    <wp:extent cx="962025" cy="769620"/>
                    <wp:effectExtent b="0" l="0" r="0" t="0"/>
                    <wp:wrapSquare wrapText="bothSides" distB="114300" distT="114300" distL="114300" distR="114300"/>
                    <wp:docPr id="6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62025" cy="7696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3"/>
          </w:sdtPr>
          <w:sdtContent>
            <w:p w:rsidR="00000000" w:rsidDel="00000000" w:rsidP="00000000" w:rsidRDefault="00000000" w:rsidRPr="00000000" w14:paraId="0000007C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DE LA CALIDAD</w:t>
              </w:r>
            </w:p>
          </w:sdtContent>
        </w:sdt>
        <w:sdt>
          <w:sdtPr>
            <w:tag w:val="goog_rdk_124"/>
          </w:sdtPr>
          <w:sdtContent>
            <w:p w:rsidR="00000000" w:rsidDel="00000000" w:rsidP="00000000" w:rsidRDefault="00000000" w:rsidRPr="00000000" w14:paraId="0000007D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25"/>
          </w:sdtPr>
          <w:sdtContent>
            <w:p w:rsidR="00000000" w:rsidDel="00000000" w:rsidP="00000000" w:rsidRDefault="00000000" w:rsidRPr="00000000" w14:paraId="0000007E">
              <w:pPr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LA GESTIÓN DEL CAMBIO</w:t>
              </w:r>
            </w:p>
          </w:sdtContent>
        </w:sdt>
      </w:tc>
      <w:tc>
        <w:tcPr>
          <w:vMerge w:val="restart"/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6"/>
          </w:sdtPr>
          <w:sdtContent>
            <w:p w:rsidR="00000000" w:rsidDel="00000000" w:rsidP="00000000" w:rsidRDefault="00000000" w:rsidRPr="00000000" w14:paraId="0000007F">
              <w:pPr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7"/>
          </w:sdtPr>
          <w:sdtContent>
            <w:p w:rsidR="00000000" w:rsidDel="00000000" w:rsidP="00000000" w:rsidRDefault="00000000" w:rsidRPr="00000000" w14:paraId="00000080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</w:p>
          </w:sdtContent>
        </w:sdt>
      </w:tc>
      <w:tc>
        <w:tcPr>
          <w:tcBorders>
            <w:top w:color="000000" w:space="0" w:sz="8" w:val="single"/>
            <w:left w:color="000000" w:space="0" w:sz="0" w:val="nil"/>
            <w:bottom w:color="000000" w:space="0" w:sz="8" w:val="single"/>
            <w:right w:color="000000" w:space="0" w:sz="8" w:val="single"/>
          </w:tcBorders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8"/>
          </w:sdtPr>
          <w:sdtContent>
            <w:p w:rsidR="00000000" w:rsidDel="00000000" w:rsidP="00000000" w:rsidRDefault="00000000" w:rsidRPr="00000000" w14:paraId="00000081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GC-PRO-006</w:t>
              </w:r>
            </w:p>
          </w:sdtContent>
        </w:sdt>
      </w:tc>
    </w:tr>
    <w:tr>
      <w:trPr>
        <w:trHeight w:val="1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29"/>
          </w:sdtPr>
          <w:sdtContent>
            <w:p w:rsidR="00000000" w:rsidDel="00000000" w:rsidP="00000000" w:rsidRDefault="00000000" w:rsidRPr="00000000" w14:paraId="00000082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0"/>
          </w:sdtPr>
          <w:sdtContent>
            <w:p w:rsidR="00000000" w:rsidDel="00000000" w:rsidP="00000000" w:rsidRDefault="00000000" w:rsidRPr="00000000" w14:paraId="00000083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1"/>
          </w:sdtPr>
          <w:sdtContent>
            <w:p w:rsidR="00000000" w:rsidDel="00000000" w:rsidP="00000000" w:rsidRDefault="00000000" w:rsidRPr="00000000" w14:paraId="00000084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2"/>
          </w:sdtPr>
          <w:sdtContent>
            <w:p w:rsidR="00000000" w:rsidDel="00000000" w:rsidP="00000000" w:rsidRDefault="00000000" w:rsidRPr="00000000" w14:paraId="00000085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3"/>
          </w:sdtPr>
          <w:sdtContent>
            <w:p w:rsidR="00000000" w:rsidDel="00000000" w:rsidP="00000000" w:rsidRDefault="00000000" w:rsidRPr="00000000" w14:paraId="00000086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1.0</w:t>
              </w:r>
            </w:p>
          </w:sdtContent>
        </w:sdt>
      </w:tc>
    </w:tr>
    <w:tr>
      <w:trPr>
        <w:trHeight w:val="8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4"/>
          </w:sdtPr>
          <w:sdtContent>
            <w:p w:rsidR="00000000" w:rsidDel="00000000" w:rsidP="00000000" w:rsidRDefault="00000000" w:rsidRPr="00000000" w14:paraId="00000087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5"/>
          </w:sdtPr>
          <w:sdtContent>
            <w:p w:rsidR="00000000" w:rsidDel="00000000" w:rsidP="00000000" w:rsidRDefault="00000000" w:rsidRPr="00000000" w14:paraId="00000088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6"/>
          </w:sdtPr>
          <w:sdtContent>
            <w:p w:rsidR="00000000" w:rsidDel="00000000" w:rsidP="00000000" w:rsidRDefault="00000000" w:rsidRPr="00000000" w14:paraId="00000089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7"/>
          </w:sdtPr>
          <w:sdtContent>
            <w:p w:rsidR="00000000" w:rsidDel="00000000" w:rsidP="00000000" w:rsidRDefault="00000000" w:rsidRPr="00000000" w14:paraId="0000008A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29/05/2019</w:t>
              </w:r>
            </w:p>
          </w:sdtContent>
        </w:sdt>
      </w:tc>
    </w:tr>
    <w:tr>
      <w:trPr>
        <w:trHeight w:val="440" w:hRule="atLeast"/>
      </w:trPr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widowControl w:val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tcBorders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widowControl w:val="0"/>
                <w:spacing w:line="276" w:lineRule="auto"/>
                <w:ind w:left="80" w:firstLine="0"/>
                <w:rPr>
                  <w:rFonts w:ascii="Arial" w:cs="Arial" w:eastAsia="Arial" w:hAnsi="Arial"/>
                  <w:sz w:val="18"/>
                  <w:szCs w:val="18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Página:</w:t>
              </w:r>
            </w:p>
          </w:sdtContent>
        </w:sdt>
      </w:tc>
      <w:tc>
        <w:tcPr>
          <w:tcBorders>
            <w:top w:color="000000" w:space="0" w:sz="0" w:val="nil"/>
            <w:left w:color="000000" w:space="0" w:sz="0" w:val="nil"/>
            <w:bottom w:color="000000" w:space="0" w:sz="8" w:val="single"/>
            <w:right w:color="000000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44"/>
    </w:sdtPr>
    <w:sdtContent>
      <w:p w:rsidR="00000000" w:rsidDel="00000000" w:rsidP="00000000" w:rsidRDefault="00000000" w:rsidRPr="00000000" w14:paraId="00000091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0" w:line="240" w:lineRule="auto"/>
          <w:ind w:left="0" w:right="0" w:firstLine="0"/>
          <w:jc w:val="left"/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Zhz+Ds+vbPRbcTTjl+thye7fw==">AMUW2mXKpMN5wLUdP/H4dzxkjw3Mlj8C67744o3skfXc93nsVcYACY+ZxKT9rPG90WoDkMe5+XuQCl2WY1oEYQTdb9u76P8AVTKOa/+qx/8y6BNaMG25wqY=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2019-04-05T00:15:00Z</dcterms:created>
  <dc:creator>Francisco</dc:creator>
</cp:coreProperties>
</file>