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rFonts w:ascii="Arial" w:cs="Arial" w:eastAsia="Arial" w:hAnsi="Arial"/>
              <w:b w:val="1"/>
              <w:i w:val="1"/>
            </w:rPr>
          </w:pPr>
          <w:r w:rsidDel="00000000" w:rsidR="00000000" w:rsidRPr="00000000">
            <w:rPr>
              <w:rFonts w:ascii="Arial" w:cs="Arial" w:eastAsia="Arial" w:hAnsi="Arial"/>
              <w:b w:val="1"/>
              <w:i w:val="1"/>
              <w:vertAlign w:val="baseline"/>
              <w:rtl w:val="0"/>
            </w:rPr>
            <w:t xml:space="preserve"> PROCEDI</w:t>
          </w:r>
          <w:r w:rsidDel="00000000" w:rsidR="00000000" w:rsidRPr="00000000">
            <w:rPr>
              <w:rFonts w:ascii="Arial" w:cs="Arial" w:eastAsia="Arial" w:hAnsi="Arial"/>
              <w:b w:val="1"/>
              <w:i w:val="1"/>
              <w:rtl w:val="0"/>
            </w:rPr>
            <w:t xml:space="preserve">MIENTO PARA LA GESTIÓN DEL RIESGO</w:t>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1"/>
            </w:sdtPr>
            <w:sdtContent>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2"/>
            </w:sdtPr>
            <w:sdtContent>
              <w:p w:rsidR="00000000" w:rsidDel="00000000" w:rsidP="00000000" w:rsidRDefault="00000000" w:rsidRPr="00000000" w14:paraId="0000002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2"/>
            </w:sdtPr>
            <w:sdtContent>
              <w:p w:rsidR="00000000" w:rsidDel="00000000" w:rsidP="00000000" w:rsidRDefault="00000000" w:rsidRPr="00000000" w14:paraId="0000002B">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sz w:val="20"/>
                    <w:szCs w:val="20"/>
                  </w:rPr>
                </w:pPr>
                <w:r w:rsidDel="00000000" w:rsidR="00000000" w:rsidRPr="00000000">
                  <w:rPr>
                    <w:rtl w:val="0"/>
                  </w:rPr>
                </w:r>
              </w:p>
            </w:sdtContent>
          </w:sdt>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vertAlign w:val="baseline"/>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18"/>
              <w:szCs w:val="18"/>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5"/>
            </w:sdtPr>
            <w:sdtContent>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sz w:val="18"/>
                    <w:szCs w:val="18"/>
                    <w:rtl w:val="0"/>
                  </w:rPr>
                  <w:t xml:space="preserve">Establecer una descripción detallada de las actividades referentes a la Gestión del Riesgo que pueda afectar los procesos de la institución.</w:t>
                </w:r>
              </w:p>
            </w:sdtContent>
          </w:sdt>
        </w:tc>
      </w:tr>
      <w:tr>
        <w:trPr>
          <w:trHeight w:val="220" w:hRule="atLeast"/>
        </w:trPr>
        <w:tc>
          <w:tcPr>
            <w:vMerge w:val="continue"/>
            <w:shd w:fill="f3f3f3" w:val="clear"/>
            <w:vAlign w:val="center"/>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57"/>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58"/>
            </w:sdtPr>
            <w:sdtContent>
              <w:p w:rsidR="00000000" w:rsidDel="00000000" w:rsidP="00000000" w:rsidRDefault="00000000" w:rsidRPr="00000000" w14:paraId="0000003B">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9"/>
            </w:sdtPr>
            <w:sdtContent>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documento aplica a todas las direcciones que comprenden la Universidad de Manizales. Inicia en </w:t>
                </w:r>
              </w:p>
            </w:sdtContent>
          </w:sdt>
        </w:tc>
      </w:tr>
      <w:tr>
        <w:trPr>
          <w:trHeight w:val="840" w:hRule="atLeast"/>
        </w:trPr>
        <w:tc>
          <w:tcPr>
            <w:shd w:fill="f3f3f3" w:val="clear"/>
            <w:vAlign w:val="center"/>
          </w:tcPr>
          <w:sdt>
            <w:sdtPr>
              <w:tag w:val="goog_rdk_60"/>
            </w:sdtPr>
            <w:sdtContent>
              <w:p w:rsidR="00000000" w:rsidDel="00000000" w:rsidP="00000000" w:rsidRDefault="00000000" w:rsidRPr="00000000" w14:paraId="0000003D">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1"/>
            </w:sdtPr>
            <w:sdtContent>
              <w:p w:rsidR="00000000" w:rsidDel="00000000" w:rsidP="00000000" w:rsidRDefault="00000000" w:rsidRPr="00000000" w14:paraId="0000003E">
                <w:pPr>
                  <w:rPr>
                    <w:rFonts w:ascii="Arial" w:cs="Arial" w:eastAsia="Arial" w:hAnsi="Arial"/>
                    <w:sz w:val="18"/>
                    <w:szCs w:val="18"/>
                  </w:rPr>
                </w:pPr>
                <w:r w:rsidDel="00000000" w:rsidR="00000000" w:rsidRPr="00000000">
                  <w:rPr>
                    <w:rFonts w:ascii="Arial" w:cs="Arial" w:eastAsia="Arial" w:hAnsi="Arial"/>
                    <w:sz w:val="18"/>
                    <w:szCs w:val="18"/>
                    <w:rtl w:val="0"/>
                  </w:rPr>
                  <w:t xml:space="preserve">Constitución Política de 1991, Artículo 67, establece que la Educación Superior es un servicio público, tiene una función social. Artículo 69, garantiza la autonomía universitario</w:t>
                </w:r>
              </w:p>
            </w:sdtContent>
          </w:sdt>
          <w:sdt>
            <w:sdtPr>
              <w:tag w:val="goog_rdk_62"/>
            </w:sdtPr>
            <w:sdtContent>
              <w:p w:rsidR="00000000" w:rsidDel="00000000" w:rsidP="00000000" w:rsidRDefault="00000000" w:rsidRPr="00000000" w14:paraId="0000003F">
                <w:pPr>
                  <w:rPr>
                    <w:rFonts w:ascii="Arial" w:cs="Arial" w:eastAsia="Arial" w:hAnsi="Arial"/>
                    <w:sz w:val="18"/>
                    <w:szCs w:val="18"/>
                  </w:rPr>
                </w:pPr>
                <w:r w:rsidDel="00000000" w:rsidR="00000000" w:rsidRPr="00000000">
                  <w:rPr>
                    <w:rFonts w:ascii="Arial" w:cs="Arial" w:eastAsia="Arial" w:hAnsi="Arial"/>
                    <w:sz w:val="18"/>
                    <w:szCs w:val="18"/>
                    <w:rtl w:val="0"/>
                  </w:rPr>
                  <w:t xml:space="preserve">Resoluciones del Ministerio de Educación para el Registro Calificado y Acreditación de programas e Institucional</w:t>
                </w:r>
              </w:p>
            </w:sdtContent>
          </w:sdt>
          <w:sdt>
            <w:sdtPr>
              <w:tag w:val="goog_rdk_63"/>
            </w:sdtPr>
            <w:sdtContent>
              <w:p w:rsidR="00000000" w:rsidDel="00000000" w:rsidP="00000000" w:rsidRDefault="00000000" w:rsidRPr="00000000" w14:paraId="00000040">
                <w:pPr>
                  <w:rPr>
                    <w:rFonts w:ascii="Arial" w:cs="Arial" w:eastAsia="Arial" w:hAnsi="Arial"/>
                    <w:sz w:val="18"/>
                    <w:szCs w:val="18"/>
                  </w:rPr>
                </w:pPr>
                <w:r w:rsidDel="00000000" w:rsidR="00000000" w:rsidRPr="00000000">
                  <w:rPr>
                    <w:rFonts w:ascii="Arial" w:cs="Arial" w:eastAsia="Arial" w:hAnsi="Arial"/>
                    <w:sz w:val="18"/>
                    <w:szCs w:val="18"/>
                    <w:rtl w:val="0"/>
                  </w:rPr>
                  <w:t xml:space="preserve">Ley 30 de 1992, Por la cual se organiza el servicio público de la Educación Superior.</w:t>
                </w:r>
              </w:p>
            </w:sdtContent>
          </w:sdt>
        </w:tc>
      </w:tr>
      <w:tr>
        <w:trPr>
          <w:trHeight w:val="520" w:hRule="atLeast"/>
        </w:trPr>
        <w:tc>
          <w:tcPr>
            <w:shd w:fill="f3f3f3" w:val="clear"/>
            <w:vAlign w:val="center"/>
          </w:tcPr>
          <w:sdt>
            <w:sdtPr>
              <w:tag w:val="goog_rdk_64"/>
            </w:sdtPr>
            <w:sdtContent>
              <w:p w:rsidR="00000000" w:rsidDel="00000000" w:rsidP="00000000" w:rsidRDefault="00000000" w:rsidRPr="00000000" w14:paraId="0000004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5"/>
            </w:sdtPr>
            <w:sdtContent>
              <w:p w:rsidR="00000000" w:rsidDel="00000000" w:rsidP="00000000" w:rsidRDefault="00000000" w:rsidRPr="00000000" w14:paraId="00000042">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Gestión:</w:t>
                </w:r>
                <w:r w:rsidDel="00000000" w:rsidR="00000000" w:rsidRPr="00000000">
                  <w:rPr>
                    <w:rFonts w:ascii="Arial" w:cs="Arial" w:eastAsia="Arial" w:hAnsi="Arial"/>
                    <w:sz w:val="18"/>
                    <w:szCs w:val="18"/>
                    <w:rtl w:val="0"/>
                  </w:rPr>
                  <w:t xml:space="preserve"> Actividades coordinadas para dirigir y controlar una organización.</w:t>
                </w:r>
              </w:p>
            </w:sdtContent>
          </w:sdt>
          <w:sdt>
            <w:sdtPr>
              <w:tag w:val="goog_rdk_66"/>
            </w:sdtPr>
            <w:sdtContent>
              <w:p w:rsidR="00000000" w:rsidDel="00000000" w:rsidP="00000000" w:rsidRDefault="00000000" w:rsidRPr="00000000" w14:paraId="00000043">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Riesgo residual: Nivel de riesgo que permanece luego de tomar medidas de tratamiento de riesgo</w:t>
                </w:r>
                <w:r w:rsidDel="00000000" w:rsidR="00000000" w:rsidRPr="00000000">
                  <w:rPr>
                    <w:rtl w:val="0"/>
                  </w:rPr>
                </w:r>
              </w:p>
            </w:sdtContent>
          </w:sdt>
        </w:tc>
      </w:tr>
      <w:tr>
        <w:trPr>
          <w:trHeight w:val="1140" w:hRule="atLeast"/>
        </w:trPr>
        <w:tc>
          <w:tcPr>
            <w:shd w:fill="f3f3f3" w:val="clear"/>
            <w:vAlign w:val="center"/>
          </w:tcPr>
          <w:sdt>
            <w:sdtPr>
              <w:tag w:val="goog_rdk_67"/>
            </w:sdtPr>
            <w:sdtContent>
              <w:p w:rsidR="00000000" w:rsidDel="00000000" w:rsidP="00000000" w:rsidRDefault="00000000" w:rsidRPr="00000000" w14:paraId="0000004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8"/>
            </w:sdtPr>
            <w:sdtContent>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Norma ISO 9001:2015</w:t>
                </w:r>
              </w:p>
            </w:sdtContent>
          </w:sdt>
          <w:sdt>
            <w:sdtPr>
              <w:tag w:val="goog_rdk_69"/>
            </w:sdtPr>
            <w:sdtContent>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sz w:val="18"/>
                    <w:szCs w:val="18"/>
                    <w:rtl w:val="0"/>
                  </w:rPr>
                  <w:t xml:space="preserve">Sistema de Planificación</w:t>
                </w:r>
              </w:p>
            </w:sdtContent>
          </w:sdt>
          <w:sdt>
            <w:sdtPr>
              <w:tag w:val="goog_rdk_70"/>
            </w:sdtPr>
            <w:sdtContent>
              <w:p w:rsidR="00000000" w:rsidDel="00000000" w:rsidP="00000000" w:rsidRDefault="00000000" w:rsidRPr="00000000" w14:paraId="00000047">
                <w:pPr>
                  <w:rPr>
                    <w:rFonts w:ascii="Arial" w:cs="Arial" w:eastAsia="Arial" w:hAnsi="Arial"/>
                    <w:sz w:val="18"/>
                    <w:szCs w:val="18"/>
                  </w:rPr>
                </w:pPr>
                <w:r w:rsidDel="00000000" w:rsidR="00000000" w:rsidRPr="00000000">
                  <w:rPr>
                    <w:rFonts w:ascii="Arial" w:cs="Arial" w:eastAsia="Arial" w:hAnsi="Arial"/>
                    <w:sz w:val="18"/>
                    <w:szCs w:val="18"/>
                    <w:rtl w:val="0"/>
                  </w:rPr>
                  <w:t xml:space="preserve">Planes de desarrollo Institucional y de Facultad</w:t>
                </w:r>
              </w:p>
            </w:sdtContent>
          </w:sdt>
          <w:sdt>
            <w:sdtPr>
              <w:tag w:val="goog_rdk_71"/>
            </w:sdtPr>
            <w:sdtContent>
              <w:p w:rsidR="00000000" w:rsidDel="00000000" w:rsidP="00000000" w:rsidRDefault="00000000" w:rsidRPr="00000000" w14:paraId="00000048">
                <w:pPr>
                  <w:rPr>
                    <w:rFonts w:ascii="Arial" w:cs="Arial" w:eastAsia="Arial" w:hAnsi="Arial"/>
                    <w:sz w:val="18"/>
                    <w:szCs w:val="18"/>
                  </w:rPr>
                </w:pPr>
                <w:r w:rsidDel="00000000" w:rsidR="00000000" w:rsidRPr="00000000">
                  <w:rPr>
                    <w:rFonts w:ascii="Arial" w:cs="Arial" w:eastAsia="Arial" w:hAnsi="Arial"/>
                    <w:sz w:val="18"/>
                    <w:szCs w:val="18"/>
                    <w:rtl w:val="0"/>
                  </w:rPr>
                  <w:t xml:space="preserve">Informes de Auditorías</w:t>
                </w:r>
              </w:p>
            </w:sdtContent>
          </w:sdt>
        </w:tc>
      </w:tr>
    </w:tbl>
    <w:sdt>
      <w:sdtPr>
        <w:tag w:val="goog_rdk_72"/>
      </w:sdtPr>
      <w:sdtContent>
        <w:p w:rsidR="00000000" w:rsidDel="00000000" w:rsidP="00000000" w:rsidRDefault="00000000" w:rsidRPr="00000000" w14:paraId="00000049">
          <w:pPr>
            <w:rPr>
              <w:rFonts w:ascii="Arial" w:cs="Arial" w:eastAsia="Arial" w:hAnsi="Arial"/>
              <w:sz w:val="18"/>
              <w:szCs w:val="18"/>
              <w:vertAlign w:val="baseline"/>
            </w:rPr>
          </w:pPr>
          <w:r w:rsidDel="00000000" w:rsidR="00000000" w:rsidRPr="00000000">
            <w:rPr>
              <w:rtl w:val="0"/>
            </w:rPr>
          </w:r>
        </w:p>
      </w:sdtContent>
    </w:sdt>
    <w:tbl>
      <w:tblPr>
        <w:tblStyle w:val="Table4"/>
        <w:tblW w:w="10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1695"/>
        <w:gridCol w:w="8130"/>
        <w:tblGridChange w:id="0">
          <w:tblGrid>
            <w:gridCol w:w="939"/>
            <w:gridCol w:w="1695"/>
            <w:gridCol w:w="8130"/>
          </w:tblGrid>
        </w:tblGridChange>
      </w:tblGrid>
      <w:tr>
        <w:trPr>
          <w:trHeight w:val="760" w:hRule="atLeast"/>
        </w:trPr>
        <w:tc>
          <w:tcPr>
            <w:shd w:fill="92d050" w:val="clear"/>
            <w:vAlign w:val="top"/>
          </w:tcPr>
          <w:sdt>
            <w:sdtPr>
              <w:tag w:val="goog_rdk_73"/>
            </w:sdtPr>
            <w:sdtContent>
              <w:p w:rsidR="00000000" w:rsidDel="00000000" w:rsidP="00000000" w:rsidRDefault="00000000" w:rsidRPr="00000000" w14:paraId="0000004A">
                <w:pPr>
                  <w:rPr>
                    <w:rFonts w:ascii="Arial" w:cs="Arial" w:eastAsia="Arial" w:hAnsi="Arial"/>
                    <w:b w:val="0"/>
                    <w:sz w:val="20"/>
                    <w:szCs w:val="20"/>
                    <w:vertAlign w:val="baseline"/>
                  </w:rPr>
                </w:pPr>
                <w:r w:rsidDel="00000000" w:rsidR="00000000" w:rsidRPr="00000000">
                  <w:rPr>
                    <w:rFonts w:ascii="Arial" w:cs="Arial" w:eastAsia="Arial" w:hAnsi="Arial"/>
                    <w:b w:val="1"/>
                    <w:sz w:val="28"/>
                    <w:szCs w:val="28"/>
                    <w:vertAlign w:val="baseline"/>
                    <w:rtl w:val="0"/>
                  </w:rPr>
                  <w:t xml:space="preserve">PASO</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sdtContent>
          </w:sdt>
        </w:tc>
        <w:tc>
          <w:tcPr>
            <w:shd w:fill="92d050" w:val="clear"/>
            <w:vAlign w:val="top"/>
          </w:tcPr>
          <w:sdt>
            <w:sdtPr>
              <w:tag w:val="goog_rdk_74"/>
            </w:sdtPr>
            <w:sdtContent>
              <w:p w:rsidR="00000000" w:rsidDel="00000000" w:rsidP="00000000" w:rsidRDefault="00000000" w:rsidRPr="00000000" w14:paraId="0000004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RESPONSABLE/</w:t>
                </w: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DEPENDENCIA</w:t>
                </w:r>
                <w:r w:rsidDel="00000000" w:rsidR="00000000" w:rsidRPr="00000000">
                  <w:rPr>
                    <w:rtl w:val="0"/>
                  </w:rPr>
                </w:r>
              </w:p>
            </w:sdtContent>
          </w:sdt>
        </w:tc>
        <w:tc>
          <w:tcPr>
            <w:shd w:fill="92d050" w:val="clear"/>
            <w:vAlign w:val="top"/>
          </w:tcPr>
          <w:sdt>
            <w:sdtPr>
              <w:tag w:val="goog_rdk_76"/>
            </w:sdtPr>
            <w:sdtContent>
              <w:p w:rsidR="00000000" w:rsidDel="00000000" w:rsidP="00000000" w:rsidRDefault="00000000" w:rsidRPr="00000000" w14:paraId="0000004D">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77"/>
            </w:sdtPr>
            <w:sdtContent>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rtl w:val="0"/>
                  </w:rPr>
                  <w:t xml:space="preserve">1.</w:t>
                </w:r>
                <w:r w:rsidDel="00000000" w:rsidR="00000000" w:rsidRPr="00000000">
                  <w:rPr>
                    <w:rtl w:val="0"/>
                  </w:rPr>
                </w:r>
              </w:p>
            </w:sdtContent>
          </w:sdt>
        </w:tc>
        <w:tc>
          <w:tcPr>
            <w:vAlign w:val="top"/>
          </w:tcPr>
          <w:sdt>
            <w:sdtPr>
              <w:tag w:val="goog_rdk_78"/>
            </w:sdtPr>
            <w:sdtContent>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Líderes de los procesos</w:t>
                </w:r>
              </w:p>
            </w:sdtContent>
          </w:sdt>
          <w:sdt>
            <w:sdtPr>
              <w:tag w:val="goog_rdk_79"/>
            </w:sdtPr>
            <w:sdtContent>
              <w:p w:rsidR="00000000" w:rsidDel="00000000" w:rsidP="00000000" w:rsidRDefault="00000000" w:rsidRPr="00000000" w14:paraId="00000050">
                <w:pPr>
                  <w:rPr>
                    <w:rFonts w:ascii="Arial" w:cs="Arial" w:eastAsia="Arial" w:hAnsi="Arial"/>
                  </w:rPr>
                </w:pPr>
                <w:r w:rsidDel="00000000" w:rsidR="00000000" w:rsidRPr="00000000">
                  <w:rPr>
                    <w:rtl w:val="0"/>
                  </w:rPr>
                </w:r>
              </w:p>
            </w:sdtContent>
          </w:sdt>
          <w:sdt>
            <w:sdtPr>
              <w:tag w:val="goog_rdk_80"/>
            </w:sdtPr>
            <w:sdtContent>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Control Interno</w:t>
                </w:r>
              </w:p>
            </w:sdtContent>
          </w:sdt>
          <w:sdt>
            <w:sdtPr>
              <w:tag w:val="goog_rdk_81"/>
            </w:sdtPr>
            <w:sdtContent>
              <w:p w:rsidR="00000000" w:rsidDel="00000000" w:rsidP="00000000" w:rsidRDefault="00000000" w:rsidRPr="00000000" w14:paraId="00000052">
                <w:pPr>
                  <w:rPr>
                    <w:rFonts w:ascii="Arial" w:cs="Arial" w:eastAsia="Arial" w:hAnsi="Arial"/>
                  </w:rPr>
                </w:pPr>
                <w:r w:rsidDel="00000000" w:rsidR="00000000" w:rsidRPr="00000000">
                  <w:rPr>
                    <w:rtl w:val="0"/>
                  </w:rPr>
                </w:r>
              </w:p>
            </w:sdtContent>
          </w:sdt>
          <w:sdt>
            <w:sdtPr>
              <w:tag w:val="goog_rdk_82"/>
            </w:sdtPr>
            <w:sdtContent>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Aseguramiento de la Calidad</w:t>
                </w:r>
              </w:p>
            </w:sdtContent>
          </w:sdt>
        </w:tc>
        <w:tc>
          <w:tcPr>
            <w:vAlign w:val="top"/>
          </w:tcPr>
          <w:sdt>
            <w:sdtPr>
              <w:tag w:val="goog_rdk_83"/>
            </w:sdtPr>
            <w:sdtContent>
              <w:p w:rsidR="00000000" w:rsidDel="00000000" w:rsidP="00000000" w:rsidRDefault="00000000" w:rsidRPr="00000000" w14:paraId="00000054">
                <w:pPr>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Análisis contexto estratégico de la Universidad de Manizales</w:t>
                </w:r>
              </w:p>
            </w:sdtContent>
          </w:sdt>
          <w:sdt>
            <w:sdtPr>
              <w:tag w:val="goog_rdk_84"/>
            </w:sdtPr>
            <w:sdtContent>
              <w:p w:rsidR="00000000" w:rsidDel="00000000" w:rsidP="00000000" w:rsidRDefault="00000000" w:rsidRPr="00000000" w14:paraId="00000055">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Identificar situaciones del entorno que afecten el cumplimiento de los objetivos definidos en cada una de las áreas estratégicas de la Universidad. Por ende el responsable o líder de cada proceso, deberá tener en cuenta el ambiente externo de su dirección que hace referencia a aspectos sociales, culturales, políticos, entre otros, y un ambiente interno que comprende los objetivos, políticas, estrategias, administración de recursos, entre otros aspectos internos de la Universidad.</w:t>
                </w:r>
              </w:p>
            </w:sdtContent>
          </w:sdt>
          <w:sdt>
            <w:sdtPr>
              <w:tag w:val="goog_rdk_85"/>
            </w:sdtPr>
            <w:sdtContent>
              <w:p w:rsidR="00000000" w:rsidDel="00000000" w:rsidP="00000000" w:rsidRDefault="00000000" w:rsidRPr="00000000" w14:paraId="00000056">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En síntesis, el fin de este paso es determinar los factores externos e internos que puedan ocasionar la presencia de riesgos y aportar información que facilite las demás etapas de la gestión del riesgo.</w:t>
                </w:r>
              </w:p>
            </w:sdtContent>
          </w:sdt>
        </w:tc>
      </w:tr>
      <w:tr>
        <w:tc>
          <w:tcPr>
            <w:vAlign w:val="top"/>
          </w:tcPr>
          <w:sdt>
            <w:sdtPr>
              <w:tag w:val="goog_rdk_86"/>
            </w:sdtPr>
            <w:sdtContent>
              <w:p w:rsidR="00000000" w:rsidDel="00000000" w:rsidP="00000000" w:rsidRDefault="00000000" w:rsidRPr="00000000" w14:paraId="00000057">
                <w:pPr>
                  <w:rPr>
                    <w:rFonts w:ascii="Arial" w:cs="Arial" w:eastAsia="Arial" w:hAnsi="Arial"/>
                    <w:vertAlign w:val="baseline"/>
                  </w:rPr>
                </w:pPr>
                <w:r w:rsidDel="00000000" w:rsidR="00000000" w:rsidRPr="00000000">
                  <w:rPr>
                    <w:rFonts w:ascii="Arial" w:cs="Arial" w:eastAsia="Arial" w:hAnsi="Arial"/>
                    <w:rtl w:val="0"/>
                  </w:rPr>
                  <w:t xml:space="preserve">2.</w:t>
                </w:r>
                <w:r w:rsidDel="00000000" w:rsidR="00000000" w:rsidRPr="00000000">
                  <w:rPr>
                    <w:rtl w:val="0"/>
                  </w:rPr>
                </w:r>
              </w:p>
            </w:sdtContent>
          </w:sdt>
        </w:tc>
        <w:tc>
          <w:tcPr>
            <w:vAlign w:val="top"/>
          </w:tcPr>
          <w:sdt>
            <w:sdtPr>
              <w:tag w:val="goog_rdk_87"/>
            </w:sdtPr>
            <w:sdtContent>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rtl w:val="0"/>
                  </w:rPr>
                  <w:t xml:space="preserve">Líder del proceso</w:t>
                </w:r>
                <w:r w:rsidDel="00000000" w:rsidR="00000000" w:rsidRPr="00000000">
                  <w:rPr>
                    <w:rtl w:val="0"/>
                  </w:rPr>
                </w:r>
              </w:p>
            </w:sdtContent>
          </w:sdt>
        </w:tc>
        <w:tc>
          <w:tcPr>
            <w:vAlign w:val="top"/>
          </w:tcPr>
          <w:sdt>
            <w:sdtPr>
              <w:tag w:val="goog_rdk_88"/>
            </w:sdtPr>
            <w:sdtContent>
              <w:p w:rsidR="00000000" w:rsidDel="00000000" w:rsidP="00000000" w:rsidRDefault="00000000" w:rsidRPr="00000000" w14:paraId="00000059">
                <w:pPr>
                  <w:jc w:val="both"/>
                  <w:rPr>
                    <w:rFonts w:ascii="Arial" w:cs="Arial" w:eastAsia="Arial" w:hAnsi="Arial"/>
                    <w:b w:val="1"/>
                  </w:rPr>
                </w:pPr>
                <w:r w:rsidDel="00000000" w:rsidR="00000000" w:rsidRPr="00000000">
                  <w:rPr>
                    <w:rFonts w:ascii="Arial" w:cs="Arial" w:eastAsia="Arial" w:hAnsi="Arial"/>
                    <w:b w:val="1"/>
                    <w:rtl w:val="0"/>
                  </w:rPr>
                  <w:t xml:space="preserve">Identificación, apreciación, evaluación, análisis y calificación del riesgo</w:t>
                </w:r>
              </w:p>
            </w:sdtContent>
          </w:sdt>
          <w:sdt>
            <w:sdtPr>
              <w:tag w:val="goog_rdk_89"/>
            </w:sdtPr>
            <w:sdtContent>
              <w:p w:rsidR="00000000" w:rsidDel="00000000" w:rsidP="00000000" w:rsidRDefault="00000000" w:rsidRPr="00000000" w14:paraId="0000005A">
                <w:pPr>
                  <w:jc w:val="both"/>
                  <w:rPr>
                    <w:rFonts w:ascii="Arial" w:cs="Arial" w:eastAsia="Arial" w:hAnsi="Arial"/>
                    <w:b w:val="1"/>
                  </w:rPr>
                </w:pPr>
                <w:r w:rsidDel="00000000" w:rsidR="00000000" w:rsidRPr="00000000">
                  <w:rPr>
                    <w:rtl w:val="0"/>
                  </w:rPr>
                </w:r>
              </w:p>
            </w:sdtContent>
          </w:sdt>
          <w:sdt>
            <w:sdtPr>
              <w:tag w:val="goog_rdk_90"/>
            </w:sdtPr>
            <w:sdtContent>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Los directores de cada área estratégica de la Universidad, colaborarán identificando los riesgos que se comprenden dentro de las líneas de acción que los mismo dirigen. </w:t>
                </w:r>
              </w:p>
            </w:sdtContent>
          </w:sdt>
          <w:sdt>
            <w:sdtPr>
              <w:tag w:val="goog_rdk_91"/>
            </w:sdtPr>
            <w:sdtContent>
              <w:p w:rsidR="00000000" w:rsidDel="00000000" w:rsidP="00000000" w:rsidRDefault="00000000" w:rsidRPr="00000000" w14:paraId="0000005C">
                <w:pPr>
                  <w:jc w:val="both"/>
                  <w:rPr>
                    <w:rFonts w:ascii="Arial" w:cs="Arial" w:eastAsia="Arial" w:hAnsi="Arial"/>
                  </w:rPr>
                </w:pPr>
                <w:r w:rsidDel="00000000" w:rsidR="00000000" w:rsidRPr="00000000">
                  <w:rPr>
                    <w:rtl w:val="0"/>
                  </w:rPr>
                </w:r>
              </w:p>
            </w:sdtContent>
          </w:sdt>
          <w:sdt>
            <w:sdtPr>
              <w:tag w:val="goog_rdk_92"/>
            </w:sdtPr>
            <w:sdtContent>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La oficina de control interno ha diseñado una matriz de riesgos que permite caracterizar los riesgos presentes en cada dirección. </w:t>
                </w:r>
              </w:p>
            </w:sdtContent>
          </w:sdt>
          <w:sdt>
            <w:sdtPr>
              <w:tag w:val="goog_rdk_93"/>
            </w:sdtPr>
            <w:sdtContent>
              <w:p w:rsidR="00000000" w:rsidDel="00000000" w:rsidP="00000000" w:rsidRDefault="00000000" w:rsidRPr="00000000" w14:paraId="0000005E">
                <w:pPr>
                  <w:jc w:val="both"/>
                  <w:rPr>
                    <w:rFonts w:ascii="Arial" w:cs="Arial" w:eastAsia="Arial" w:hAnsi="Arial"/>
                  </w:rPr>
                </w:pPr>
                <w:r w:rsidDel="00000000" w:rsidR="00000000" w:rsidRPr="00000000">
                  <w:rPr>
                    <w:rtl w:val="0"/>
                  </w:rPr>
                </w:r>
              </w:p>
            </w:sdtContent>
          </w:sdt>
          <w:sdt>
            <w:sdtPr>
              <w:tag w:val="goog_rdk_94"/>
            </w:sdtPr>
            <w:sdtContent>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Para cada riesgo es pertinente determinar sus causas, sus consecuencias, los posibles controles y su respectiva evaluación, como se ve en la siguiente matriz (GC-FOR-017).</w:t>
                </w:r>
              </w:p>
            </w:sdtContent>
          </w:sdt>
          <w:sdt>
            <w:sdtPr>
              <w:tag w:val="goog_rdk_95"/>
            </w:sdtPr>
            <w:sdtContent>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074603" cy="3664419"/>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74603" cy="3664419"/>
                              </a:xfrm>
                              <a:prstGeom prst="rect"/>
                              <a:ln/>
                            </pic:spPr>
                          </pic:pic>
                        </a:graphicData>
                      </a:graphic>
                    </wp:inline>
                  </w:drawing>
                </w:r>
                <w:r w:rsidDel="00000000" w:rsidR="00000000" w:rsidRPr="00000000">
                  <w:rPr>
                    <w:rtl w:val="0"/>
                  </w:rPr>
                </w:r>
              </w:p>
            </w:sdtContent>
          </w:sdt>
          <w:sdt>
            <w:sdtPr>
              <w:tag w:val="goog_rdk_96"/>
            </w:sdtPr>
            <w:sdtContent>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Después de determinar las causas, y consecuencias del riesgo identificado, se obtiene el Nivel de Riesgo Absoluto (NRA), el cual se obtiene de calificar la probabilidad de ocurrencia e impacto de dicho riesgo, teniendo en cuenta lo siguiente:</w:t>
                </w:r>
              </w:p>
            </w:sdtContent>
          </w:sdt>
          <w:sdt>
            <w:sdtPr>
              <w:tag w:val="goog_rdk_97"/>
            </w:sdtPr>
            <w:sdtContent>
              <w:p w:rsidR="00000000" w:rsidDel="00000000" w:rsidP="00000000" w:rsidRDefault="00000000" w:rsidRPr="00000000" w14:paraId="00000062">
                <w:pPr>
                  <w:jc w:val="both"/>
                  <w:rPr>
                    <w:rFonts w:ascii="Arial" w:cs="Arial" w:eastAsia="Arial" w:hAnsi="Arial"/>
                  </w:rPr>
                </w:pPr>
                <w:r w:rsidDel="00000000" w:rsidR="00000000" w:rsidRPr="00000000">
                  <w:rPr>
                    <w:rtl w:val="0"/>
                  </w:rPr>
                </w:r>
              </w:p>
            </w:sdtContent>
          </w:sdt>
          <w:sdt>
            <w:sdtPr>
              <w:tag w:val="goog_rdk_98"/>
            </w:sdtPr>
            <w:sdtContent>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171950" cy="43243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71950" cy="4324350"/>
                              </a:xfrm>
                              <a:prstGeom prst="rect"/>
                              <a:ln/>
                            </pic:spPr>
                          </pic:pic>
                        </a:graphicData>
                      </a:graphic>
                    </wp:inline>
                  </w:drawing>
                </w:r>
                <w:r w:rsidDel="00000000" w:rsidR="00000000" w:rsidRPr="00000000">
                  <w:rPr>
                    <w:rtl w:val="0"/>
                  </w:rPr>
                </w:r>
              </w:p>
            </w:sdtContent>
          </w:sdt>
          <w:sdt>
            <w:sdtPr>
              <w:tag w:val="goog_rdk_99"/>
            </w:sdtPr>
            <w:sdtContent>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Por ejemplo si la probabilidad es de 3 y el impacto es 2, el nivel de riesgo absoluto es MEDIO, porque la matriz indica que el cruce entre 3 y 2 da como resultado 6.</w:t>
                </w:r>
              </w:p>
            </w:sdtContent>
          </w:sdt>
          <w:sdt>
            <w:sdtPr>
              <w:tag w:val="goog_rdk_100"/>
            </w:sdtPr>
            <w:sdtContent>
              <w:p w:rsidR="00000000" w:rsidDel="00000000" w:rsidP="00000000" w:rsidRDefault="00000000" w:rsidRPr="00000000" w14:paraId="00000065">
                <w:pPr>
                  <w:rPr>
                    <w:rFonts w:ascii="Arial" w:cs="Arial" w:eastAsia="Arial" w:hAnsi="Arial"/>
                  </w:rPr>
                </w:pPr>
                <w:r w:rsidDel="00000000" w:rsidR="00000000" w:rsidRPr="00000000">
                  <w:rPr>
                    <w:rtl w:val="0"/>
                  </w:rPr>
                </w:r>
              </w:p>
            </w:sdtContent>
          </w:sdt>
          <w:sdt>
            <w:sdtPr>
              <w:tag w:val="goog_rdk_101"/>
            </w:sdtPr>
            <w:sdtContent>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Ahora bien, después de determinar el control necesario para el riesgo evaluado, se obtiene el Nivel de Riesgo Residual (NRR), el cual se obtiene al calificar el control propuesto multiplicado por el valor del nivel de riesgo absoluto obtenido anteriormente.</w:t>
                </w:r>
              </w:p>
            </w:sdtContent>
          </w:sdt>
          <w:sdt>
            <w:sdtPr>
              <w:tag w:val="goog_rdk_102"/>
            </w:sdtPr>
            <w:sdtContent>
              <w:p w:rsidR="00000000" w:rsidDel="00000000" w:rsidP="00000000" w:rsidRDefault="00000000" w:rsidRPr="00000000" w14:paraId="00000067">
                <w:pPr>
                  <w:rPr>
                    <w:rFonts w:ascii="Arial" w:cs="Arial" w:eastAsia="Arial" w:hAnsi="Arial"/>
                  </w:rPr>
                </w:pPr>
                <w:r w:rsidDel="00000000" w:rsidR="00000000" w:rsidRPr="00000000">
                  <w:rPr>
                    <w:rtl w:val="0"/>
                  </w:rPr>
                </w:r>
              </w:p>
            </w:sdtContent>
          </w:sdt>
          <w:sdt>
            <w:sdtPr>
              <w:tag w:val="goog_rdk_103"/>
            </w:sdtPr>
            <w:sdtContent>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Pr>
                  <w:drawing>
                    <wp:inline distB="114300" distT="114300" distL="114300" distR="114300">
                      <wp:extent cx="5103178" cy="3118608"/>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03178" cy="3118608"/>
                              </a:xfrm>
                              <a:prstGeom prst="rect"/>
                              <a:ln/>
                            </pic:spPr>
                          </pic:pic>
                        </a:graphicData>
                      </a:graphic>
                    </wp:inline>
                  </w:drawing>
                </w:r>
                <w:r w:rsidDel="00000000" w:rsidR="00000000" w:rsidRPr="00000000">
                  <w:rPr>
                    <w:rtl w:val="0"/>
                  </w:rPr>
                </w:r>
              </w:p>
            </w:sdtContent>
          </w:sdt>
          <w:sdt>
            <w:sdtPr>
              <w:tag w:val="goog_rdk_104"/>
            </w:sdtPr>
            <w:sdtContent>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Dónde:</w:t>
                </w:r>
              </w:p>
            </w:sdtContent>
          </w:sdt>
          <w:sdt>
            <w:sdtPr>
              <w:tag w:val="goog_rdk_105"/>
            </w:sdtPr>
            <w:sdtContent>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274503" cy="1762125"/>
                      <wp:effectExtent b="0" l="0" r="0" t="0"/>
                      <wp:docPr id="10" name="image2.png"/>
                      <a:graphic>
                        <a:graphicData uri="http://schemas.openxmlformats.org/drawingml/2006/picture">
                          <pic:pic>
                            <pic:nvPicPr>
                              <pic:cNvPr id="0" name="image2.png"/>
                              <pic:cNvPicPr preferRelativeResize="0"/>
                            </pic:nvPicPr>
                            <pic:blipFill>
                              <a:blip r:embed="rId10"/>
                              <a:srcRect b="0" l="0" r="1152" t="0"/>
                              <a:stretch>
                                <a:fillRect/>
                              </a:stretch>
                            </pic:blipFill>
                            <pic:spPr>
                              <a:xfrm>
                                <a:off x="0" y="0"/>
                                <a:ext cx="4274503" cy="1762125"/>
                              </a:xfrm>
                              <a:prstGeom prst="rect"/>
                              <a:ln/>
                            </pic:spPr>
                          </pic:pic>
                        </a:graphicData>
                      </a:graphic>
                    </wp:inline>
                  </w:drawing>
                </w:r>
                <w:r w:rsidDel="00000000" w:rsidR="00000000" w:rsidRPr="00000000">
                  <w:rPr>
                    <w:rtl w:val="0"/>
                  </w:rPr>
                </w:r>
              </w:p>
            </w:sdtContent>
          </w:sdt>
        </w:tc>
      </w:tr>
      <w:tr>
        <w:trPr>
          <w:trHeight w:val="300" w:hRule="atLeast"/>
        </w:trPr>
        <w:tc>
          <w:tcPr>
            <w:vAlign w:val="top"/>
          </w:tcPr>
          <w:sdt>
            <w:sdtPr>
              <w:tag w:val="goog_rdk_106"/>
            </w:sdtPr>
            <w:sdtContent>
              <w:p w:rsidR="00000000" w:rsidDel="00000000" w:rsidP="00000000" w:rsidRDefault="00000000" w:rsidRPr="00000000" w14:paraId="0000006B">
                <w:pPr>
                  <w:rPr>
                    <w:rFonts w:ascii="Arial" w:cs="Arial" w:eastAsia="Arial" w:hAnsi="Arial"/>
                    <w:vertAlign w:val="baseline"/>
                  </w:rPr>
                </w:pPr>
                <w:r w:rsidDel="00000000" w:rsidR="00000000" w:rsidRPr="00000000">
                  <w:rPr>
                    <w:rFonts w:ascii="Arial" w:cs="Arial" w:eastAsia="Arial" w:hAnsi="Arial"/>
                    <w:rtl w:val="0"/>
                  </w:rPr>
                  <w:t xml:space="preserve">3.</w:t>
                </w:r>
                <w:r w:rsidDel="00000000" w:rsidR="00000000" w:rsidRPr="00000000">
                  <w:rPr>
                    <w:rtl w:val="0"/>
                  </w:rPr>
                </w:r>
              </w:p>
            </w:sdtContent>
          </w:sdt>
        </w:tc>
        <w:tc>
          <w:tcPr>
            <w:vAlign w:val="top"/>
          </w:tcPr>
          <w:sdt>
            <w:sdtPr>
              <w:tag w:val="goog_rdk_107"/>
            </w:sdtPr>
            <w:sdtContent>
              <w:p w:rsidR="00000000" w:rsidDel="00000000" w:rsidP="00000000" w:rsidRDefault="00000000" w:rsidRPr="00000000" w14:paraId="0000006C">
                <w:pPr>
                  <w:rPr>
                    <w:rFonts w:ascii="Arial" w:cs="Arial" w:eastAsia="Arial" w:hAnsi="Arial"/>
                    <w:b w:val="1"/>
                    <w:vertAlign w:val="baseline"/>
                  </w:rPr>
                </w:pPr>
                <w:r w:rsidDel="00000000" w:rsidR="00000000" w:rsidRPr="00000000">
                  <w:rPr>
                    <w:rFonts w:ascii="Arial" w:cs="Arial" w:eastAsia="Arial" w:hAnsi="Arial"/>
                    <w:rtl w:val="0"/>
                  </w:rPr>
                  <w:t xml:space="preserve">Líder del proceso</w:t>
                </w:r>
                <w:r w:rsidDel="00000000" w:rsidR="00000000" w:rsidRPr="00000000">
                  <w:rPr>
                    <w:rtl w:val="0"/>
                  </w:rPr>
                </w:r>
              </w:p>
            </w:sdtContent>
          </w:sdt>
        </w:tc>
        <w:tc>
          <w:tcPr>
            <w:vAlign w:val="top"/>
          </w:tcPr>
          <w:sdt>
            <w:sdtPr>
              <w:tag w:val="goog_rdk_108"/>
            </w:sdtPr>
            <w:sdtContent>
              <w:p w:rsidR="00000000" w:rsidDel="00000000" w:rsidP="00000000" w:rsidRDefault="00000000" w:rsidRPr="00000000" w14:paraId="0000006D">
                <w:pPr>
                  <w:jc w:val="both"/>
                  <w:rPr>
                    <w:rFonts w:ascii="Arial" w:cs="Arial" w:eastAsia="Arial" w:hAnsi="Arial"/>
                    <w:b w:val="1"/>
                  </w:rPr>
                </w:pPr>
                <w:r w:rsidDel="00000000" w:rsidR="00000000" w:rsidRPr="00000000">
                  <w:rPr>
                    <w:rFonts w:ascii="Arial" w:cs="Arial" w:eastAsia="Arial" w:hAnsi="Arial"/>
                    <w:b w:val="1"/>
                    <w:rtl w:val="0"/>
                  </w:rPr>
                  <w:t xml:space="preserve">Determinar plan de acciones para la matriz de riesgos diseñada</w:t>
                </w:r>
              </w:p>
            </w:sdtContent>
          </w:sdt>
          <w:sdt>
            <w:sdtPr>
              <w:tag w:val="goog_rdk_109"/>
            </w:sdtPr>
            <w:sdtContent>
              <w:p w:rsidR="00000000" w:rsidDel="00000000" w:rsidP="00000000" w:rsidRDefault="00000000" w:rsidRPr="00000000" w14:paraId="0000006E">
                <w:pPr>
                  <w:jc w:val="both"/>
                  <w:rPr>
                    <w:rFonts w:ascii="Arial" w:cs="Arial" w:eastAsia="Arial" w:hAnsi="Arial"/>
                    <w:b w:val="1"/>
                  </w:rPr>
                </w:pPr>
                <w:r w:rsidDel="00000000" w:rsidR="00000000" w:rsidRPr="00000000">
                  <w:rPr>
                    <w:rtl w:val="0"/>
                  </w:rPr>
                </w:r>
              </w:p>
            </w:sdtContent>
          </w:sdt>
          <w:sdt>
            <w:sdtPr>
              <w:tag w:val="goog_rdk_110"/>
            </w:sdtPr>
            <w:sdtContent>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Analizar las posibles acciones a ejecutar, para cada uno de los riesgos identificados y evaluados, a través de la siguiente matriz (GC-FOR-018):</w:t>
                </w:r>
              </w:p>
            </w:sdtContent>
          </w:sdt>
          <w:sdt>
            <w:sdtPr>
              <w:tag w:val="goog_rdk_111"/>
            </w:sdtPr>
            <w:sdtContent>
              <w:p w:rsidR="00000000" w:rsidDel="00000000" w:rsidP="00000000" w:rsidRDefault="00000000" w:rsidRPr="00000000" w14:paraId="00000070">
                <w:pPr>
                  <w:jc w:val="both"/>
                  <w:rPr>
                    <w:rFonts w:ascii="Arial" w:cs="Arial" w:eastAsia="Arial" w:hAnsi="Arial"/>
                  </w:rPr>
                </w:pPr>
                <w:r w:rsidDel="00000000" w:rsidR="00000000" w:rsidRPr="00000000">
                  <w:rPr>
                    <w:rtl w:val="0"/>
                  </w:rPr>
                </w:r>
              </w:p>
            </w:sdtContent>
          </w:sdt>
          <w:sdt>
            <w:sdtPr>
              <w:tag w:val="goog_rdk_112"/>
            </w:sdtPr>
            <w:sdtContent>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007928" cy="2245618"/>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07928" cy="2245618"/>
                              </a:xfrm>
                              <a:prstGeom prst="rect"/>
                              <a:ln/>
                            </pic:spPr>
                          </pic:pic>
                        </a:graphicData>
                      </a:graphic>
                    </wp:inline>
                  </w:drawing>
                </w:r>
                <w:r w:rsidDel="00000000" w:rsidR="00000000" w:rsidRPr="00000000">
                  <w:rPr>
                    <w:rtl w:val="0"/>
                  </w:rPr>
                </w:r>
              </w:p>
            </w:sdtContent>
          </w:sdt>
          <w:sdt>
            <w:sdtPr>
              <w:tag w:val="goog_rdk_113"/>
            </w:sdtPr>
            <w:sdtContent>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En esta se identifica el riesgo, el tipo de riesgo (no conformidad (NC) u oportunidad de mejora (OM)), la causa y la acción para contrarrestar dicho riesgo. Además se solicita determinar qué fecha se efectuará la acción, el responsable y su estado (terminado o en ejecución).</w:t>
                </w:r>
              </w:p>
            </w:sdtContent>
          </w:sdt>
        </w:tc>
      </w:tr>
      <w:tr>
        <w:trPr>
          <w:trHeight w:val="240" w:hRule="atLeast"/>
        </w:trPr>
        <w:tc>
          <w:tcPr>
            <w:vAlign w:val="top"/>
          </w:tcPr>
          <w:sdt>
            <w:sdtPr>
              <w:tag w:val="goog_rdk_114"/>
            </w:sdtPr>
            <w:sdtContent>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4.</w:t>
                </w:r>
              </w:p>
            </w:sdtContent>
          </w:sdt>
        </w:tc>
        <w:tc>
          <w:tcPr>
            <w:vAlign w:val="top"/>
          </w:tcPr>
          <w:sdt>
            <w:sdtPr>
              <w:tag w:val="goog_rdk_115"/>
            </w:sdtPr>
            <w:sdtContent>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Control Interno</w:t>
                </w:r>
              </w:p>
            </w:sdtContent>
          </w:sdt>
        </w:tc>
        <w:tc>
          <w:tcPr>
            <w:vAlign w:val="top"/>
          </w:tcPr>
          <w:sdt>
            <w:sdtPr>
              <w:tag w:val="goog_rdk_116"/>
            </w:sdtPr>
            <w:sdtContent>
              <w:p w:rsidR="00000000" w:rsidDel="00000000" w:rsidP="00000000" w:rsidRDefault="00000000" w:rsidRPr="00000000" w14:paraId="00000075">
                <w:pPr>
                  <w:spacing w:after="20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Comunicación y mejora continua</w:t>
                </w:r>
              </w:p>
            </w:sdtContent>
          </w:sdt>
          <w:sdt>
            <w:sdtPr>
              <w:tag w:val="goog_rdk_117"/>
            </w:sdtPr>
            <w:sdtContent>
              <w:p w:rsidR="00000000" w:rsidDel="00000000" w:rsidP="00000000" w:rsidRDefault="00000000" w:rsidRPr="00000000" w14:paraId="00000076">
                <w:pPr>
                  <w:spacing w:after="20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Desarrollar un plan de comunicación de los riesgos  y sus tratamientos para todo el personal de la universidad y sus grupos de interés externos.</w:t>
                </w:r>
              </w:p>
            </w:sdtContent>
          </w:sdt>
          <w:sdt>
            <w:sdtPr>
              <w:tag w:val="goog_rdk_118"/>
            </w:sdtPr>
            <w:sdtContent>
              <w:p w:rsidR="00000000" w:rsidDel="00000000" w:rsidP="00000000" w:rsidRDefault="00000000" w:rsidRPr="00000000" w14:paraId="00000077">
                <w:pPr>
                  <w:spacing w:after="20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Monitoreo constante de los riesgos en cada una de las direcciones de la Universidad de Manizales.</w:t>
                </w:r>
              </w:p>
            </w:sdtContent>
          </w:sdt>
        </w:tc>
      </w:tr>
    </w:tbl>
    <w:sdt>
      <w:sdtPr>
        <w:tag w:val="goog_rdk_119"/>
      </w:sdtPr>
      <w:sdtContent>
        <w:p w:rsidR="00000000" w:rsidDel="00000000" w:rsidP="00000000" w:rsidRDefault="00000000" w:rsidRPr="00000000" w14:paraId="00000078">
          <w:pPr>
            <w:rPr>
              <w:rFonts w:ascii="Arial" w:cs="Arial" w:eastAsia="Arial" w:hAnsi="Arial"/>
              <w:sz w:val="18"/>
              <w:szCs w:val="18"/>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21"/>
      </w:sdtPr>
      <w:sdtContent>
        <w:p w:rsidR="00000000" w:rsidDel="00000000" w:rsidP="00000000" w:rsidRDefault="00000000" w:rsidRPr="00000000" w14:paraId="0000007A">
          <w:pPr>
            <w:rPr>
              <w:rFonts w:ascii="Arial" w:cs="Arial" w:eastAsia="Arial" w:hAnsi="Arial"/>
              <w:b w:val="0"/>
              <w:sz w:val="18"/>
              <w:szCs w:val="18"/>
              <w:vertAlign w:val="baseline"/>
            </w:rPr>
          </w:pPr>
          <w:r w:rsidDel="00000000" w:rsidR="00000000" w:rsidRPr="00000000">
            <w:rPr>
              <w:rtl w:val="0"/>
            </w:rPr>
          </w:r>
        </w:p>
      </w:sdtContent>
    </w:sdt>
    <w:tbl>
      <w:tblPr>
        <w:tblStyle w:val="Table5"/>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05"/>
        <w:gridCol w:w="2310"/>
        <w:tblGridChange w:id="0">
          <w:tblGrid>
            <w:gridCol w:w="7605"/>
            <w:gridCol w:w="2310"/>
          </w:tblGrid>
        </w:tblGridChange>
      </w:tblGrid>
      <w:tr>
        <w:trPr>
          <w:trHeight w:val="580" w:hRule="atLeast"/>
        </w:trPr>
        <w:tc>
          <w:tcPr>
            <w:vAlign w:val="center"/>
          </w:tcPr>
          <w:sdt>
            <w:sdtPr>
              <w:tag w:val="goog_rdk_122"/>
            </w:sdtPr>
            <w:sdtContent>
              <w:p w:rsidR="00000000" w:rsidDel="00000000" w:rsidP="00000000" w:rsidRDefault="00000000" w:rsidRPr="00000000" w14:paraId="0000007B">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center"/>
          </w:tcPr>
          <w:sdt>
            <w:sdtPr>
              <w:tag w:val="goog_rdk_123"/>
            </w:sdtPr>
            <w:sdtContent>
              <w:p w:rsidR="00000000" w:rsidDel="00000000" w:rsidP="00000000" w:rsidRDefault="00000000" w:rsidRPr="00000000" w14:paraId="0000007C">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24"/>
            </w:sdtPr>
            <w:sdtContent>
              <w:p w:rsidR="00000000" w:rsidDel="00000000" w:rsidP="00000000" w:rsidRDefault="00000000" w:rsidRPr="00000000" w14:paraId="0000007D">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Matriz de riesgos Planeación Institucional</w:t>
                </w:r>
                <w:r w:rsidDel="00000000" w:rsidR="00000000" w:rsidRPr="00000000">
                  <w:rPr>
                    <w:rtl w:val="0"/>
                  </w:rPr>
                </w:r>
              </w:p>
            </w:sdtContent>
          </w:sdt>
        </w:tc>
        <w:tc>
          <w:tcPr>
            <w:vAlign w:val="top"/>
          </w:tcPr>
          <w:sdt>
            <w:sdtPr>
              <w:tag w:val="goog_rdk_125"/>
            </w:sdtPr>
            <w:sdtContent>
              <w:p w:rsidR="00000000" w:rsidDel="00000000" w:rsidP="00000000" w:rsidRDefault="00000000" w:rsidRPr="00000000" w14:paraId="0000007E">
                <w:pPr>
                  <w:rPr>
                    <w:rFonts w:ascii="Arial" w:cs="Arial" w:eastAsia="Arial" w:hAnsi="Arial"/>
                    <w:sz w:val="18"/>
                    <w:szCs w:val="18"/>
                  </w:rPr>
                </w:pPr>
                <w:r w:rsidDel="00000000" w:rsidR="00000000" w:rsidRPr="00000000">
                  <w:rPr>
                    <w:rFonts w:ascii="Arial" w:cs="Arial" w:eastAsia="Arial" w:hAnsi="Arial"/>
                    <w:sz w:val="18"/>
                    <w:szCs w:val="18"/>
                    <w:rtl w:val="0"/>
                  </w:rPr>
                  <w:t xml:space="preserve">PI-FOR-008</w:t>
                </w:r>
              </w:p>
            </w:sdtContent>
          </w:sdt>
        </w:tc>
      </w:tr>
      <w:tr>
        <w:trPr>
          <w:trHeight w:val="280" w:hRule="atLeast"/>
        </w:trPr>
        <w:tc>
          <w:tcPr>
            <w:vAlign w:val="top"/>
          </w:tcPr>
          <w:sdt>
            <w:sdtPr>
              <w:tag w:val="goog_rdk_126"/>
            </w:sdtPr>
            <w:sdtContent>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de la calidad</w:t>
                </w:r>
              </w:p>
            </w:sdtContent>
          </w:sdt>
        </w:tc>
        <w:tc>
          <w:tcPr>
            <w:vAlign w:val="top"/>
          </w:tcPr>
          <w:sdt>
            <w:sdtPr>
              <w:tag w:val="goog_rdk_127"/>
            </w:sdtPr>
            <w:sdtContent>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GC-FOR-016</w:t>
                </w:r>
              </w:p>
            </w:sdtContent>
          </w:sdt>
        </w:tc>
      </w:tr>
      <w:tr>
        <w:trPr>
          <w:trHeight w:val="280" w:hRule="atLeast"/>
        </w:trPr>
        <w:tc>
          <w:tcPr>
            <w:vAlign w:val="top"/>
          </w:tcPr>
          <w:sdt>
            <w:sdtPr>
              <w:tag w:val="goog_rdk_128"/>
            </w:sdtPr>
            <w:sdtContent>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Docencia</w:t>
                </w:r>
              </w:p>
            </w:sdtContent>
          </w:sdt>
        </w:tc>
        <w:tc>
          <w:tcPr>
            <w:vAlign w:val="top"/>
          </w:tcPr>
          <w:sdt>
            <w:sdtPr>
              <w:tag w:val="goog_rdk_129"/>
            </w:sdtPr>
            <w:sdtContent>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DO-FOR-010</w:t>
                </w:r>
              </w:p>
            </w:sdtContent>
          </w:sdt>
        </w:tc>
      </w:tr>
      <w:tr>
        <w:trPr>
          <w:trHeight w:val="280" w:hRule="atLeast"/>
        </w:trPr>
        <w:tc>
          <w:tcPr>
            <w:vAlign w:val="top"/>
          </w:tcPr>
          <w:sdt>
            <w:sdtPr>
              <w:tag w:val="goog_rdk_130"/>
            </w:sdtPr>
            <w:sdtContent>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Investigación y Posgrados</w:t>
                </w:r>
              </w:p>
            </w:sdtContent>
          </w:sdt>
        </w:tc>
        <w:tc>
          <w:tcPr>
            <w:vAlign w:val="top"/>
          </w:tcPr>
          <w:sdt>
            <w:sdtPr>
              <w:tag w:val="goog_rdk_131"/>
            </w:sdtPr>
            <w:sdtContent>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 xml:space="preserve">IP-FOR-</w:t>
                </w:r>
              </w:p>
            </w:sdtContent>
          </w:sdt>
        </w:tc>
      </w:tr>
      <w:tr>
        <w:trPr>
          <w:trHeight w:val="280" w:hRule="atLeast"/>
        </w:trPr>
        <w:tc>
          <w:tcPr>
            <w:vAlign w:val="top"/>
          </w:tcPr>
          <w:sdt>
            <w:sdtPr>
              <w:tag w:val="goog_rdk_132"/>
            </w:sdtPr>
            <w:sdtContent>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Proyección Social</w:t>
                </w:r>
              </w:p>
            </w:sdtContent>
          </w:sdt>
        </w:tc>
        <w:tc>
          <w:tcPr>
            <w:vAlign w:val="top"/>
          </w:tcPr>
          <w:sdt>
            <w:sdtPr>
              <w:tag w:val="goog_rdk_133"/>
            </w:sdtPr>
            <w:sdtContent>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PS-FOR-019</w:t>
                </w:r>
              </w:p>
            </w:sdtContent>
          </w:sdt>
        </w:tc>
      </w:tr>
      <w:tr>
        <w:trPr>
          <w:trHeight w:val="280" w:hRule="atLeast"/>
        </w:trPr>
        <w:tc>
          <w:tcPr>
            <w:vAlign w:val="top"/>
          </w:tcPr>
          <w:sdt>
            <w:sdtPr>
              <w:tag w:val="goog_rdk_134"/>
            </w:sdtPr>
            <w:sdtContent>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Desarrollo Humano</w:t>
                </w:r>
              </w:p>
            </w:sdtContent>
          </w:sdt>
        </w:tc>
        <w:tc>
          <w:tcPr>
            <w:vAlign w:val="top"/>
          </w:tcPr>
          <w:sdt>
            <w:sdtPr>
              <w:tag w:val="goog_rdk_135"/>
            </w:sdtPr>
            <w:sdtContent>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DH-FOR-010</w:t>
                </w:r>
              </w:p>
            </w:sdtContent>
          </w:sdt>
        </w:tc>
      </w:tr>
      <w:tr>
        <w:trPr>
          <w:trHeight w:val="280" w:hRule="atLeast"/>
        </w:trPr>
        <w:tc>
          <w:tcPr>
            <w:vAlign w:val="top"/>
          </w:tcPr>
          <w:sdt>
            <w:sdtPr>
              <w:tag w:val="goog_rdk_136"/>
            </w:sdtPr>
            <w:sdtContent>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de la Infraestructura</w:t>
                </w:r>
              </w:p>
            </w:sdtContent>
          </w:sdt>
        </w:tc>
        <w:tc>
          <w:tcPr>
            <w:vAlign w:val="top"/>
          </w:tcPr>
          <w:sdt>
            <w:sdtPr>
              <w:tag w:val="goog_rdk_137"/>
            </w:sdtPr>
            <w:sdtContent>
              <w:p w:rsidR="00000000" w:rsidDel="00000000" w:rsidP="00000000" w:rsidRDefault="00000000" w:rsidRPr="00000000" w14:paraId="0000008A">
                <w:pPr>
                  <w:rPr>
                    <w:rFonts w:ascii="Arial" w:cs="Arial" w:eastAsia="Arial" w:hAnsi="Arial"/>
                    <w:sz w:val="18"/>
                    <w:szCs w:val="18"/>
                  </w:rPr>
                </w:pPr>
                <w:r w:rsidDel="00000000" w:rsidR="00000000" w:rsidRPr="00000000">
                  <w:rPr>
                    <w:rFonts w:ascii="Arial" w:cs="Arial" w:eastAsia="Arial" w:hAnsi="Arial"/>
                    <w:sz w:val="18"/>
                    <w:szCs w:val="18"/>
                    <w:rtl w:val="0"/>
                  </w:rPr>
                  <w:t xml:space="preserve">GI-FOR-006</w:t>
                </w:r>
              </w:p>
            </w:sdtContent>
          </w:sdt>
        </w:tc>
      </w:tr>
      <w:tr>
        <w:trPr>
          <w:trHeight w:val="280" w:hRule="atLeast"/>
        </w:trPr>
        <w:tc>
          <w:tcPr>
            <w:vAlign w:val="top"/>
          </w:tcPr>
          <w:sdt>
            <w:sdtPr>
              <w:tag w:val="goog_rdk_138"/>
            </w:sdtPr>
            <w:sdtContent>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Admisiones, Registro y Control Académico</w:t>
                </w:r>
              </w:p>
            </w:sdtContent>
          </w:sdt>
        </w:tc>
        <w:tc>
          <w:tcPr>
            <w:vAlign w:val="top"/>
          </w:tcPr>
          <w:sdt>
            <w:sdtPr>
              <w:tag w:val="goog_rdk_139"/>
            </w:sdtPr>
            <w:sdtContent>
              <w:p w:rsidR="00000000" w:rsidDel="00000000" w:rsidP="00000000" w:rsidRDefault="00000000" w:rsidRPr="00000000" w14:paraId="0000008C">
                <w:pPr>
                  <w:rPr>
                    <w:rFonts w:ascii="Arial" w:cs="Arial" w:eastAsia="Arial" w:hAnsi="Arial"/>
                    <w:sz w:val="18"/>
                    <w:szCs w:val="18"/>
                  </w:rPr>
                </w:pPr>
                <w:r w:rsidDel="00000000" w:rsidR="00000000" w:rsidRPr="00000000">
                  <w:rPr>
                    <w:rFonts w:ascii="Arial" w:cs="Arial" w:eastAsia="Arial" w:hAnsi="Arial"/>
                    <w:sz w:val="18"/>
                    <w:szCs w:val="18"/>
                    <w:rtl w:val="0"/>
                  </w:rPr>
                  <w:t xml:space="preserve">GRA-FOR-004</w:t>
                </w:r>
              </w:p>
            </w:sdtContent>
          </w:sdt>
        </w:tc>
      </w:tr>
      <w:tr>
        <w:trPr>
          <w:trHeight w:val="280" w:hRule="atLeast"/>
        </w:trPr>
        <w:tc>
          <w:tcPr>
            <w:vAlign w:val="top"/>
          </w:tcPr>
          <w:sdt>
            <w:sdtPr>
              <w:tag w:val="goog_rdk_140"/>
            </w:sdtPr>
            <w:sdtContent>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Biblioteca</w:t>
                </w:r>
              </w:p>
            </w:sdtContent>
          </w:sdt>
        </w:tc>
        <w:tc>
          <w:tcPr>
            <w:vAlign w:val="top"/>
          </w:tcPr>
          <w:sdt>
            <w:sdtPr>
              <w:tag w:val="goog_rdk_141"/>
            </w:sdtPr>
            <w:sdtContent>
              <w:p w:rsidR="00000000" w:rsidDel="00000000" w:rsidP="00000000" w:rsidRDefault="00000000" w:rsidRPr="00000000" w14:paraId="0000008E">
                <w:pPr>
                  <w:rPr>
                    <w:rFonts w:ascii="Arial" w:cs="Arial" w:eastAsia="Arial" w:hAnsi="Arial"/>
                    <w:sz w:val="18"/>
                    <w:szCs w:val="18"/>
                  </w:rPr>
                </w:pPr>
                <w:r w:rsidDel="00000000" w:rsidR="00000000" w:rsidRPr="00000000">
                  <w:rPr>
                    <w:rFonts w:ascii="Arial" w:cs="Arial" w:eastAsia="Arial" w:hAnsi="Arial"/>
                    <w:sz w:val="18"/>
                    <w:szCs w:val="18"/>
                    <w:rtl w:val="0"/>
                  </w:rPr>
                  <w:t xml:space="preserve">GRA-FOR-005</w:t>
                </w:r>
              </w:p>
            </w:sdtContent>
          </w:sdt>
        </w:tc>
      </w:tr>
      <w:tr>
        <w:trPr>
          <w:trHeight w:val="280" w:hRule="atLeast"/>
        </w:trPr>
        <w:tc>
          <w:tcPr>
            <w:vAlign w:val="top"/>
          </w:tcPr>
          <w:sdt>
            <w:sdtPr>
              <w:tag w:val="goog_rdk_142"/>
            </w:sdtPr>
            <w:sdtContent>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Financiera Finanzas</w:t>
                </w:r>
              </w:p>
            </w:sdtContent>
          </w:sdt>
        </w:tc>
        <w:tc>
          <w:tcPr>
            <w:vAlign w:val="top"/>
          </w:tcPr>
          <w:sdt>
            <w:sdtPr>
              <w:tag w:val="goog_rdk_143"/>
            </w:sdtPr>
            <w:sdtContent>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GF-FOR-028</w:t>
                </w:r>
              </w:p>
            </w:sdtContent>
          </w:sdt>
        </w:tc>
      </w:tr>
      <w:tr>
        <w:trPr>
          <w:trHeight w:val="280" w:hRule="atLeast"/>
        </w:trPr>
        <w:tc>
          <w:tcPr>
            <w:vAlign w:val="top"/>
          </w:tcPr>
          <w:sdt>
            <w:sdtPr>
              <w:tag w:val="goog_rdk_144"/>
            </w:sdtPr>
            <w:sdtContent>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Financiera Bienes y Servicios</w:t>
                </w:r>
              </w:p>
            </w:sdtContent>
          </w:sdt>
        </w:tc>
        <w:tc>
          <w:tcPr>
            <w:vAlign w:val="top"/>
          </w:tcPr>
          <w:sdt>
            <w:sdtPr>
              <w:tag w:val="goog_rdk_145"/>
            </w:sdtPr>
            <w:sdtContent>
              <w:p w:rsidR="00000000" w:rsidDel="00000000" w:rsidP="00000000" w:rsidRDefault="00000000" w:rsidRPr="00000000" w14:paraId="00000092">
                <w:pPr>
                  <w:rPr>
                    <w:rFonts w:ascii="Arial" w:cs="Arial" w:eastAsia="Arial" w:hAnsi="Arial"/>
                    <w:sz w:val="18"/>
                    <w:szCs w:val="18"/>
                  </w:rPr>
                </w:pPr>
                <w:r w:rsidDel="00000000" w:rsidR="00000000" w:rsidRPr="00000000">
                  <w:rPr>
                    <w:rFonts w:ascii="Arial" w:cs="Arial" w:eastAsia="Arial" w:hAnsi="Arial"/>
                    <w:sz w:val="18"/>
                    <w:szCs w:val="18"/>
                    <w:rtl w:val="0"/>
                  </w:rPr>
                  <w:t xml:space="preserve">GF-FOR-029</w:t>
                </w:r>
              </w:p>
            </w:sdtContent>
          </w:sdt>
        </w:tc>
      </w:tr>
    </w:tbl>
    <w:sdt>
      <w:sdtPr>
        <w:tag w:val="goog_rdk_146"/>
      </w:sdtPr>
      <w:sdtContent>
        <w:p w:rsidR="00000000" w:rsidDel="00000000" w:rsidP="00000000" w:rsidRDefault="00000000" w:rsidRPr="00000000" w14:paraId="00000093">
          <w:pPr>
            <w:rPr>
              <w:rFonts w:ascii="Arial" w:cs="Arial" w:eastAsia="Arial" w:hAnsi="Arial"/>
              <w:sz w:val="18"/>
              <w:szCs w:val="18"/>
            </w:rPr>
          </w:pPr>
          <w:r w:rsidDel="00000000" w:rsidR="00000000" w:rsidRPr="00000000">
            <w:rPr>
              <w:rtl w:val="0"/>
            </w:rPr>
          </w:r>
        </w:p>
      </w:sdtContent>
    </w:sdt>
    <w:sdt>
      <w:sdtPr>
        <w:tag w:val="goog_rdk_147"/>
      </w:sdtPr>
      <w:sdtContent>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148"/>
      </w:sdtPr>
      <w:sdtContent>
        <w:p w:rsidR="00000000" w:rsidDel="00000000" w:rsidP="00000000" w:rsidRDefault="00000000" w:rsidRPr="00000000" w14:paraId="00000095">
          <w:pPr>
            <w:rPr>
              <w:rFonts w:ascii="Arial" w:cs="Arial" w:eastAsia="Arial" w:hAnsi="Arial"/>
              <w:sz w:val="18"/>
              <w:szCs w:val="18"/>
            </w:rPr>
          </w:pPr>
          <w:r w:rsidDel="00000000" w:rsidR="00000000" w:rsidRPr="00000000">
            <w:rPr>
              <w:rtl w:val="0"/>
            </w:rPr>
          </w:r>
        </w:p>
      </w:sdtContent>
    </w:sdt>
    <w:tbl>
      <w:tblPr>
        <w:tblStyle w:val="Table6"/>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05"/>
        <w:gridCol w:w="2310"/>
        <w:tblGridChange w:id="0">
          <w:tblGrid>
            <w:gridCol w:w="7605"/>
            <w:gridCol w:w="2310"/>
          </w:tblGrid>
        </w:tblGridChange>
      </w:tblGrid>
      <w:tr>
        <w:trPr>
          <w:trHeight w:val="580" w:hRule="atLeast"/>
        </w:trPr>
        <w:tc>
          <w:tcPr>
            <w:vAlign w:val="center"/>
          </w:tcPr>
          <w:sdt>
            <w:sdtPr>
              <w:tag w:val="goog_rdk_149"/>
            </w:sdtPr>
            <w:sdtContent>
              <w:p w:rsidR="00000000" w:rsidDel="00000000" w:rsidP="00000000" w:rsidRDefault="00000000" w:rsidRPr="00000000" w14:paraId="00000096">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center"/>
          </w:tcPr>
          <w:sdt>
            <w:sdtPr>
              <w:tag w:val="goog_rdk_150"/>
            </w:sdtPr>
            <w:sdtContent>
              <w:p w:rsidR="00000000" w:rsidDel="00000000" w:rsidP="00000000" w:rsidRDefault="00000000" w:rsidRPr="00000000" w14:paraId="00000097">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51"/>
            </w:sdtPr>
            <w:sdtContent>
              <w:p w:rsidR="00000000" w:rsidDel="00000000" w:rsidP="00000000" w:rsidRDefault="00000000" w:rsidRPr="00000000" w14:paraId="00000098">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Matriz de riesgos</w:t>
                </w:r>
              </w:p>
            </w:sdtContent>
          </w:sdt>
        </w:tc>
        <w:tc>
          <w:tcPr>
            <w:vAlign w:val="top"/>
          </w:tcPr>
          <w:sdt>
            <w:sdtPr>
              <w:tag w:val="goog_rdk_152"/>
            </w:sdtPr>
            <w:sdtContent>
              <w:p w:rsidR="00000000" w:rsidDel="00000000" w:rsidP="00000000" w:rsidRDefault="00000000" w:rsidRPr="00000000" w14:paraId="00000099">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GC-FOR-017</w:t>
                </w:r>
              </w:p>
            </w:sdtContent>
          </w:sdt>
        </w:tc>
      </w:tr>
      <w:tr>
        <w:trPr>
          <w:trHeight w:val="280" w:hRule="atLeast"/>
        </w:trPr>
        <w:tc>
          <w:tcPr>
            <w:vAlign w:val="top"/>
          </w:tcPr>
          <w:sdt>
            <w:sdtPr>
              <w:tag w:val="goog_rdk_153"/>
            </w:sdtPr>
            <w:sdtContent>
              <w:p w:rsidR="00000000" w:rsidDel="00000000" w:rsidP="00000000" w:rsidRDefault="00000000" w:rsidRPr="00000000" w14:paraId="0000009A">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Matriz de plan de acciones</w:t>
                </w:r>
              </w:p>
            </w:sdtContent>
          </w:sdt>
        </w:tc>
        <w:tc>
          <w:tcPr>
            <w:vAlign w:val="top"/>
          </w:tcPr>
          <w:sdt>
            <w:sdtPr>
              <w:tag w:val="goog_rdk_154"/>
            </w:sdtPr>
            <w:sdtContent>
              <w:p w:rsidR="00000000" w:rsidDel="00000000" w:rsidP="00000000" w:rsidRDefault="00000000" w:rsidRPr="00000000" w14:paraId="0000009B">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GC-FOR-018</w:t>
                </w:r>
              </w:p>
            </w:sdtContent>
          </w:sdt>
        </w:tc>
      </w:tr>
    </w:tbl>
    <w:sdt>
      <w:sdtPr>
        <w:tag w:val="goog_rdk_155"/>
      </w:sdtPr>
      <w:sdtContent>
        <w:p w:rsidR="00000000" w:rsidDel="00000000" w:rsidP="00000000" w:rsidRDefault="00000000" w:rsidRPr="00000000" w14:paraId="0000009C">
          <w:pPr>
            <w:rPr>
              <w:rFonts w:ascii="Arial" w:cs="Arial" w:eastAsia="Arial" w:hAnsi="Arial"/>
              <w:sz w:val="18"/>
              <w:szCs w:val="18"/>
            </w:rPr>
          </w:pPr>
          <w:r w:rsidDel="00000000" w:rsidR="00000000" w:rsidRPr="00000000">
            <w:rPr>
              <w:rtl w:val="0"/>
            </w:rPr>
          </w:r>
        </w:p>
      </w:sdtContent>
    </w:sdt>
    <w:sectPr>
      <w:headerReference r:id="rId12" w:type="default"/>
      <w:footerReference r:id="rId13"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6"/>
    </w:sdtPr>
    <w:sdtContent>
      <w:p w:rsidR="00000000" w:rsidDel="00000000" w:rsidP="00000000" w:rsidRDefault="00000000" w:rsidRPr="00000000" w14:paraId="0000009D">
        <w:pPr>
          <w:widowControl w:val="0"/>
          <w:spacing w:line="276" w:lineRule="auto"/>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209550</wp:posOffset>
              </wp:positionV>
              <wp:extent cx="962025" cy="992405"/>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62025" cy="992405"/>
                      </a:xfrm>
                      <a:prstGeom prst="rect"/>
                      <a:ln/>
                    </pic:spPr>
                  </pic:pic>
                </a:graphicData>
              </a:graphic>
            </wp:anchor>
          </w:drawing>
        </w:r>
      </w:p>
    </w:sdtContent>
  </w:sdt>
  <w:tbl>
    <w:tblPr>
      <w:tblStyle w:val="Table7"/>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435"/>
      <w:gridCol w:w="1620"/>
      <w:gridCol w:w="1455"/>
      <w:gridCol w:w="1770"/>
      <w:tblGridChange w:id="0">
        <w:tblGrid>
          <w:gridCol w:w="2235"/>
          <w:gridCol w:w="3435"/>
          <w:gridCol w:w="1620"/>
          <w:gridCol w:w="1455"/>
          <w:gridCol w:w="1770"/>
        </w:tblGrid>
      </w:tblGridChange>
    </w:tblGrid>
    <w:tr>
      <w:trPr>
        <w:trHeight w:val="36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7"/>
          </w:sdtPr>
          <w:sdtContent>
            <w:p w:rsidR="00000000" w:rsidDel="00000000" w:rsidP="00000000" w:rsidRDefault="00000000" w:rsidRPr="00000000" w14:paraId="0000009E">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85726</wp:posOffset>
                    </wp:positionV>
                    <wp:extent cx="962025" cy="76962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62025" cy="769620"/>
                            </a:xfrm>
                            <a:prstGeom prst="rect"/>
                            <a:ln/>
                          </pic:spPr>
                        </pic:pic>
                      </a:graphicData>
                    </a:graphic>
                  </wp:anchor>
                </w:drawing>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8"/>
          </w:sdtPr>
          <w:sdtContent>
            <w:p w:rsidR="00000000" w:rsidDel="00000000" w:rsidP="00000000" w:rsidRDefault="00000000" w:rsidRPr="00000000" w14:paraId="0000009F">
              <w:pPr>
                <w:jc w:val="center"/>
                <w:rPr>
                  <w:rFonts w:ascii="Arial" w:cs="Arial" w:eastAsia="Arial" w:hAnsi="Arial"/>
                  <w:b w:val="1"/>
                </w:rPr>
              </w:pPr>
              <w:r w:rsidDel="00000000" w:rsidR="00000000" w:rsidRPr="00000000">
                <w:rPr>
                  <w:rFonts w:ascii="Arial" w:cs="Arial" w:eastAsia="Arial" w:hAnsi="Arial"/>
                  <w:b w:val="1"/>
                  <w:rtl w:val="0"/>
                </w:rPr>
                <w:t xml:space="preserve">GESTIÓN DE LA CALIDAD</w:t>
              </w:r>
            </w:p>
          </w:sdtContent>
        </w:sdt>
        <w:sdt>
          <w:sdtPr>
            <w:tag w:val="goog_rdk_159"/>
          </w:sdtPr>
          <w:sdtContent>
            <w:p w:rsidR="00000000" w:rsidDel="00000000" w:rsidP="00000000" w:rsidRDefault="00000000" w:rsidRPr="00000000" w14:paraId="000000A0">
              <w:pPr>
                <w:jc w:val="center"/>
                <w:rPr>
                  <w:rFonts w:ascii="Arial" w:cs="Arial" w:eastAsia="Arial" w:hAnsi="Arial"/>
                  <w:b w:val="1"/>
                </w:rPr>
              </w:pPr>
              <w:r w:rsidDel="00000000" w:rsidR="00000000" w:rsidRPr="00000000">
                <w:rPr>
                  <w:rtl w:val="0"/>
                </w:rPr>
              </w:r>
            </w:p>
          </w:sdtContent>
        </w:sdt>
        <w:sdt>
          <w:sdtPr>
            <w:tag w:val="goog_rdk_160"/>
          </w:sdtPr>
          <w:sdtContent>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PROCEDIMIENTO PARA LA GESTIÓN DEL RIESGO</w:t>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61"/>
          </w:sdtPr>
          <w:sdtContent>
            <w:p w:rsidR="00000000" w:rsidDel="00000000" w:rsidP="00000000" w:rsidRDefault="00000000" w:rsidRPr="00000000" w14:paraId="000000A2">
              <w:pPr>
                <w:rPr>
                  <w:rFonts w:ascii="Arial" w:cs="Arial" w:eastAsia="Arial" w:hAnsi="Arial"/>
                </w:rPr>
              </w:pPr>
              <w:r w:rsidDel="00000000" w:rsidR="00000000" w:rsidRPr="00000000">
                <w:rPr>
                  <w:rtl w:val="0"/>
                </w:rPr>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62"/>
          </w:sdtPr>
          <w:sdtContent>
            <w:p w:rsidR="00000000" w:rsidDel="00000000" w:rsidP="00000000" w:rsidRDefault="00000000" w:rsidRPr="00000000" w14:paraId="000000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63"/>
          </w:sdtPr>
          <w:sdtContent>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GC-PRO-007</w:t>
              </w:r>
            </w:p>
          </w:sdtContent>
        </w:sdt>
      </w:tc>
    </w:tr>
    <w:tr>
      <w:trPr>
        <w:trHeight w:val="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4"/>
          </w:sdtPr>
          <w:sdtContent>
            <w:p w:rsidR="00000000" w:rsidDel="00000000" w:rsidP="00000000" w:rsidRDefault="00000000" w:rsidRPr="00000000" w14:paraId="000000A5">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5"/>
          </w:sdtPr>
          <w:sdtContent>
            <w:p w:rsidR="00000000" w:rsidDel="00000000" w:rsidP="00000000" w:rsidRDefault="00000000" w:rsidRPr="00000000" w14:paraId="000000A6">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6"/>
          </w:sdtPr>
          <w:sdtContent>
            <w:p w:rsidR="00000000" w:rsidDel="00000000" w:rsidP="00000000" w:rsidRDefault="00000000" w:rsidRPr="00000000" w14:paraId="000000A7">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7"/>
          </w:sdtPr>
          <w:sdtContent>
            <w:p w:rsidR="00000000" w:rsidDel="00000000" w:rsidP="00000000" w:rsidRDefault="00000000" w:rsidRPr="00000000" w14:paraId="000000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8"/>
          </w:sdtPr>
          <w:sdtContent>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9"/>
          </w:sdtPr>
          <w:sdtContent>
            <w:p w:rsidR="00000000" w:rsidDel="00000000" w:rsidP="00000000" w:rsidRDefault="00000000" w:rsidRPr="00000000" w14:paraId="000000AA">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0"/>
          </w:sdtPr>
          <w:sdtContent>
            <w:p w:rsidR="00000000" w:rsidDel="00000000" w:rsidP="00000000" w:rsidRDefault="00000000" w:rsidRPr="00000000" w14:paraId="000000AB">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0AC">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2"/>
          </w:sdtPr>
          <w:sdtContent>
            <w:p w:rsidR="00000000" w:rsidDel="00000000" w:rsidP="00000000" w:rsidRDefault="00000000" w:rsidRPr="00000000" w14:paraId="000000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3"/>
          </w:sdtPr>
          <w:sdtContent>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29/05/2019</w:t>
              </w:r>
            </w:p>
          </w:sdtContent>
        </w:sdt>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4"/>
          </w:sdtPr>
          <w:sdtContent>
            <w:p w:rsidR="00000000" w:rsidDel="00000000" w:rsidP="00000000" w:rsidRDefault="00000000" w:rsidRPr="00000000" w14:paraId="000000AF">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0B0">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6"/>
          </w:sdtPr>
          <w:sdtContent>
            <w:p w:rsidR="00000000" w:rsidDel="00000000" w:rsidP="00000000" w:rsidRDefault="00000000" w:rsidRPr="00000000" w14:paraId="000000B1">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7"/>
          </w:sdtPr>
          <w:sdtContent>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8"/>
          </w:sdtPr>
          <w:sdtContent>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360" w:leftChars="-1" w:rightChars="0" w:firstLineChars="-1"/>
      <w:jc w:val="both"/>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rFonts w:ascii="Arial" w:cs="Arial" w:eastAsia="Times New Roman" w:hAnsi="Arial"/>
      <w:w w:val="100"/>
      <w:position w:val="-1"/>
      <w:sz w:val="24"/>
      <w:szCs w:val="24"/>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kfbAD3ooZQfcDmpTRxwAijpr2A==">AMUW2mVAZ0GY4ErCUUjrykKjOpCv9ibXv7JqzXkLIEg9ZaoHuNy0Dot0tbuBG8hkyRr3K9E2E6BgzpJ3diO9gaDaJ+lxTIhMULKdDGC4mqovH9idIfsk3F0=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2019-04-05T00:15:00Z</dcterms:created>
  <dc:creator>Francisco</dc:creator>
</cp:coreProperties>
</file>