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PRESENTACIÓN DE COMPROMISOS ACADÉMICOS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Establecer la metodología que defina el paso a paso de elaboración y presentación de compromisos académicos de la Universidad de Manizales (poder articular las proyecciones de la planta docente de las Facultades y de los Programas con los Planes de Desarrollo y los procesos misionales (Docencia, Investigaciones y proyección social).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Este procedimiento aplica para los Directivos y personal de apoyo de la Dirección de Docencia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Inicia con la planificación de la agenda y termina con la aprobación de compromisos académicos.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Convención colectiva Universidad de Manizales, Resolución de calendario académico, Resolución asignación salarial vigente, Estatuto de los académicos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Estructura de la planta docente (Tiempo completo- Medio tiempo- Tiempo parcial y Cátedra), Bonificaciones.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Sistema de planificación, Plan de Desarrollo Dirección Docencia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6"/>
        <w:gridCol w:w="2345"/>
        <w:gridCol w:w="7464"/>
        <w:tblGridChange w:id="0">
          <w:tblGrid>
            <w:gridCol w:w="939"/>
            <w:gridCol w:w="6"/>
            <w:gridCol w:w="2345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Decanos y directores de programa de la Universidad de Manizales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Revisión de los compromisos académicos, necesidades del programa y evaluaciones.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 formato: DO-FOR-005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Decanos, Directores de programa y Docentes de la Universidad de Manizales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Presentación de los compromisos académicos a cada uno de los profesores para su concertación y el desarrollo de los planes de trabajo.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 formato: DO-FOR-005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Decanos, Directores de programa y Directivos de la Universidad de Manizales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Presentación a la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vertAlign w:val="baseline"/>
                    <w:rtl w:val="0"/>
                  </w:rPr>
                  <w:t xml:space="preserve">“Comisión de Compromisos académicos”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(vicerrectoría, planeación, división de desarrollo humano, dirección de docencia, y equipo de Directivos de las Facultades) para evaluación y aprobación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 y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 caso de nuevos profesores el Director de Programa solicita a la División de Desarrollo humano abrir las convocatorias para suplir las necesidades docentes. 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  <w:color w:val="ff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gridSpan w:val="2"/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 y 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director de programa solicita a Dirección de Docencia habilitar a los nuevos profesores (abrir Plan de vida académico-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 instructivo DO-IT-001, DO-IT-002)</w:t>
                </w: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 en el sistema para ingresar los compromisos académicos</w:t>
                </w:r>
              </w:p>
            </w:sdtContent>
          </w:sdt>
        </w:tc>
      </w:tr>
      <w:tr>
        <w:trPr>
          <w:trHeight w:val="800" w:hRule="atLeast"/>
        </w:trPr>
        <w:tc>
          <w:tcPr>
            <w:gridSpan w:val="2"/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El director solicita por flujo los contratos laborales de horas cátedra, medio tiempo y tiempo completo a término fijo.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color w:val="ff000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 instructivo: DO-IT-004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140" w:hRule="atLeast"/>
        </w:trPr>
        <w:tc>
          <w:tcPr>
            <w:gridSpan w:val="2"/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ind w:left="108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ind w:left="108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 y 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hanging="72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Los compromisos académicos consignados en el sistema que obedezcan a contratos de bonificación o prestación de servicios deben ser ordenados por medio de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flujo de trabajo,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con el fin de consignar los datos específicos requeridos para la elaboración del contrato (fecha de inicio y fecha de terminación y valor del contrato). La Dirección de docencia verifica que lo solicitado en los flujos se encuentre en el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Sistema de Planeación Académica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</w:tc>
      </w:tr>
      <w:tr>
        <w:trPr>
          <w:trHeight w:val="2340" w:hRule="atLeast"/>
        </w:trPr>
        <w:tc>
          <w:tcPr>
            <w:gridSpan w:val="2"/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de Docencia y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hanging="72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Para la elaboración de todos los contratos (profesores nuevos y antiguos) se verificará por parte de la dirección de docencia que el Plan de Vida Académico se encuentre actualizado y tenga los soportes de formación debidamente escaneados. Aprobado el proceso por parte de la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“Comisión de Compromisos académicos”, 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se aprueba la asignación docente en el sistema y esta no podrá ser modificada sin la previa aprobación de la Dirección de Docencia.</w:t>
                </w:r>
              </w:p>
            </w:sdtContent>
          </w:sdt>
        </w:tc>
      </w:tr>
    </w:tbl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Ó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Caracterización de procesos de Dirección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DO-CRT-001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Instructivo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Administrador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Plan de Vida Académico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Instructivo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Creación de personas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Plan de Vida Académico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Instructivo para la solicitud de creación de contrato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Concertación de compromisos académicos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DO-FOR-005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acta de entrega de compromisos académicos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DO-FOR-006</w:t>
                </w:r>
              </w:p>
            </w:sdtContent>
          </w:sdt>
        </w:tc>
      </w:tr>
    </w:tbl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0"/>
    </w:sdtPr>
    <w:sdtContent>
      <w:p w:rsidR="00000000" w:rsidDel="00000000" w:rsidP="00000000" w:rsidRDefault="00000000" w:rsidRPr="00000000" w14:paraId="000000B5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81"/>
    </w:sdtPr>
    <w:sdtContent>
      <w:p w:rsidR="00000000" w:rsidDel="00000000" w:rsidP="00000000" w:rsidRDefault="00000000" w:rsidRPr="00000000" w14:paraId="000000B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7"/>
    </w:sdtPr>
    <w:sdtContent>
      <w:p w:rsidR="00000000" w:rsidDel="00000000" w:rsidP="00000000" w:rsidRDefault="00000000" w:rsidRPr="00000000" w14:paraId="0000009E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25"/>
      <w:gridCol w:w="1560"/>
      <w:tblGridChange w:id="0">
        <w:tblGrid>
          <w:gridCol w:w="1605"/>
          <w:gridCol w:w="4560"/>
          <w:gridCol w:w="1785"/>
          <w:gridCol w:w="1125"/>
          <w:gridCol w:w="156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59"/>
          </w:sdtPr>
          <w:sdtContent>
            <w:p w:rsidR="00000000" w:rsidDel="00000000" w:rsidP="00000000" w:rsidRDefault="00000000" w:rsidRPr="00000000" w14:paraId="000000A0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DOCENCIA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PRESENTACIÓN DE COMPROMISOS ACADÉMICOS</w:t>
              </w:r>
            </w:p>
          </w:sdtContent>
        </w:sdt>
      </w:tc>
      <w:tc>
        <w:tcPr>
          <w:vMerge w:val="restart"/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DO-PRO-002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79"/>
    </w:sdtPr>
    <w:sdtContent>
      <w:p w:rsidR="00000000" w:rsidDel="00000000" w:rsidP="00000000" w:rsidRDefault="00000000" w:rsidRPr="00000000" w14:paraId="000000B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EcoRBMFN6vsbI93zfaIrjfe6xw==">AMUW2mWZGHDLB7i1KfCBpVeUthQN1CCQo/lMlZmTg8gZYQ4PSBHou+mGEIvl45t2aiAlnjJa8wBoI0mjx+pi02i3EaPi9fKcu65k1JnH6Z38qeKGMlAf4K8=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Francisco</dc:creator>
</cp:coreProperties>
</file>