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INVESTIGACIÓN FORMATIVA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y referentes a la investigación formativa.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la identificación de lineamientos de créditos investigativos, reglamentos sobre tesis y políticas de semilleros y culmina con el soporte al funcionamiento de los diferentes semilleros.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Ac. 4/06  Sistema General de Investigaciones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Ac. 01/16 Reglamento bioética en investigación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Res. 24/15 Semilleros de investigación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both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Consejo académico Dirección de investigación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spacing w:after="240" w:lineRule="auto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Dictar lineamientos en términos de: </w:t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numPr>
                    <w:ilvl w:val="0"/>
                    <w:numId w:val="1"/>
                  </w:numPr>
                  <w:spacing w:after="240" w:lineRule="auto"/>
                  <w:ind w:left="720" w:hanging="360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Créditos investigativos mínimos por programa</w:t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numPr>
                    <w:ilvl w:val="0"/>
                    <w:numId w:val="1"/>
                  </w:numPr>
                  <w:spacing w:after="240" w:lineRule="auto"/>
                  <w:ind w:left="720" w:hanging="360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Reglamentos sobre tesis 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numPr>
                    <w:ilvl w:val="0"/>
                    <w:numId w:val="1"/>
                  </w:numPr>
                  <w:spacing w:after="240" w:lineRule="auto"/>
                  <w:ind w:left="720" w:hanging="360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Políticas en términos de semilleros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Proponer al comité central de Investigación, términos de convocatorias para la creación de semilleros de investigación</w:t>
                </w:r>
              </w:p>
            </w:sdtContent>
          </w:sdt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Publicar la convocatoria para semilleros de investigación en los medios de difusión de la Universidad, así como en la plataforma de SIGUM para la recopilación de proponentes a la convocatoria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Publicar los resultados de la convocatoria de Semilleros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Acompañar los diferentes programas académicos en la articulación de procesos de investigación que deriven en producción académica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Brindar soporte para la presentación de público interesado en la convocatoria de jóvenes investigadores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Brindar soporte al funcionamiento de los diferentes semilleros de investigación de la Universidad de Manizales</w:t>
                </w:r>
              </w:p>
            </w:sdtContent>
          </w:sdt>
        </w:tc>
      </w:tr>
    </w:tbl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 Investigación y Posgrados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IP-CRT-001</w:t>
                </w:r>
              </w:p>
            </w:sdtContent>
          </w:sdt>
        </w:tc>
      </w:tr>
    </w:tbl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Investigación y Posgrados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IP-FOR-001</w:t>
                </w:r>
              </w:p>
            </w:sdtContent>
          </w:sdt>
        </w:tc>
      </w:tr>
    </w:tbl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6"/>
    </w:sdtPr>
    <w:sdtContent>
      <w:p w:rsidR="00000000" w:rsidDel="00000000" w:rsidP="00000000" w:rsidRDefault="00000000" w:rsidRPr="00000000" w14:paraId="00000093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47"/>
    </w:sdtPr>
    <w:sdtContent>
      <w:p w:rsidR="00000000" w:rsidDel="00000000" w:rsidP="00000000" w:rsidRDefault="00000000" w:rsidRPr="00000000" w14:paraId="0000009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2"/>
    </w:sdtPr>
    <w:sdtContent>
      <w:p w:rsidR="00000000" w:rsidDel="00000000" w:rsidP="00000000" w:rsidRDefault="00000000" w:rsidRPr="00000000" w14:paraId="0000007B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7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INVESTIGACIÓN Y POSGRADOS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INVESTIGACIÓN FORMATIVA</w:t>
              </w:r>
            </w:p>
          </w:sdtContent>
        </w:sdt>
      </w:tc>
      <w:tc>
        <w:tcPr>
          <w:vMerge w:val="restart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2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IP-PRO-003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10/06/2019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45"/>
    </w:sdtPr>
    <w:sdtContent>
      <w:p w:rsidR="00000000" w:rsidDel="00000000" w:rsidP="00000000" w:rsidRDefault="00000000" w:rsidRPr="00000000" w14:paraId="0000009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oho3FfwvCC2oDhVJkRu/+ju9Rw==">AMUW2mUpKDb5RM/qPGCq2I5v27jDsCgx1l58DBER4HMgFsNVh0we6FYlHk/LM0EdaMT731rTs8GDpsW67B1DgyRmRmBPol3/5TQVClR3sDG5n+92rxXN2Vo=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2019-06-06T22:41:00Z</dcterms:created>
  <dc:creator>Francisco</dc:creator>
</cp:coreProperties>
</file>