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LA INVESTIGACIÓN FORMATIVA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8025"/>
        <w:tblGridChange w:id="0">
          <w:tblGrid>
            <w:gridCol w:w="2355"/>
            <w:gridCol w:w="8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y referentes a la investigación formativa.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identificación de lineamientos de créditos investigativos, reglamentos sobre tesis y políticas de semilleros y culmina con el soporte al funcionamiento de los diferentes semilleros.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4/06  Sistema General de Investigaciones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Ac. 01/16 Reglamento bioética en investigación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22222"/>
                    <w:sz w:val="18"/>
                    <w:szCs w:val="18"/>
                    <w:highlight w:val="white"/>
                    <w:rtl w:val="0"/>
                  </w:rPr>
                  <w:t xml:space="preserve">Res. 24/15 Semilleros de investigación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Consejo académico Dirección de investigación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spacing w:after="240" w:lineRule="auto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Dictar lineamientos en términos de: 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Créditos investigativos mínimos por programa</w:t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Reglamentos sobre tesis </w:t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numPr>
                    <w:ilvl w:val="0"/>
                    <w:numId w:val="1"/>
                  </w:numPr>
                  <w:spacing w:after="240" w:lineRule="auto"/>
                  <w:ind w:left="720" w:hanging="360"/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Políticas en términos de semilleros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Proponer al comité central de Investigación, términos de convocatorias para la creación de semilleros de investigación</w:t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Publicar la convocatoria para semilleros de investigación en los medios de difusión de la Universidad, así como en la plataforma de SIGUM para la recopilación de proponentes a la convocatoria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Publicar los resultados de la convocatoria de Semilleros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Acompañar los diferentes programas académicos en la articulación de procesos de investigación que deriven en producción académica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Brindar soporte para la presentación de público interesado en la convocatoria de jóvenes investigadores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Dirección de investigación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color w:val="00000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vertAlign w:val="baseline"/>
                    <w:rtl w:val="0"/>
                  </w:rPr>
                  <w:t xml:space="preserve">Brindar soporte al funcionamiento de los diferentes semilleros de investigación de la Universidad de Manizales</w:t>
                </w:r>
              </w:p>
            </w:sdtContent>
          </w:sdt>
        </w:tc>
      </w:tr>
    </w:tbl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 Investigación y Posgrados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IP-CRT-001</w:t>
                </w:r>
              </w:p>
            </w:sdtContent>
          </w:sdt>
        </w:tc>
      </w:tr>
    </w:tbl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Investigación y Posgrados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IP-FOR-001</w:t>
                </w:r>
              </w:p>
            </w:sdtContent>
          </w:sdt>
        </w:tc>
      </w:tr>
    </w:tbl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4"/>
    </w:sdtPr>
    <w:sdtContent>
      <w:p w:rsidR="00000000" w:rsidDel="00000000" w:rsidP="00000000" w:rsidRDefault="00000000" w:rsidRPr="00000000" w14:paraId="00000091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45"/>
    </w:sdtPr>
    <w:sdtContent>
      <w:p w:rsidR="00000000" w:rsidDel="00000000" w:rsidP="00000000" w:rsidRDefault="00000000" w:rsidRPr="00000000" w14:paraId="0000009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0"/>
    </w:sdtPr>
    <w:sdtContent>
      <w:p w:rsidR="00000000" w:rsidDel="00000000" w:rsidP="00000000" w:rsidRDefault="00000000" w:rsidRPr="00000000" w14:paraId="00000079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INVESTIGACIÓN Y POSGRADOS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INVESTIGACIÓN FORMATIVA</w:t>
              </w:r>
            </w:p>
          </w:sdtContent>
        </w:sdt>
      </w:tc>
      <w:tc>
        <w:tcPr>
          <w:vMerge w:val="restart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IP-PRO-003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10/06/2019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3"/>
    </w:sdtPr>
    <w:sdtContent>
      <w:p w:rsidR="00000000" w:rsidDel="00000000" w:rsidP="00000000" w:rsidRDefault="00000000" w:rsidRPr="00000000" w14:paraId="0000009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oho3FfwvCC2oDhVJkRu/+ju9Rw==">AMUW2mVrhhtRFJrPb6ZLGo5CqQJSLz3OYYrVb2tVbCOsLX6pnLJyMbkxkFkvNE7oJLC8HdZ7P60vszttp6Ge9LPKgpBpAnqlMxUpEvhdVDrA2LnxO0zJWPI=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2019-06-06T22:41:00Z</dcterms:created>
  <dc:creator>Francisco</dc:creator>
</cp:coreProperties>
</file>