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4">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5">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LA OFERTA</w:t>
      </w:r>
    </w:p>
    <w:p w:rsidR="00000000" w:rsidDel="00000000" w:rsidP="00000000" w:rsidRDefault="00000000" w:rsidRPr="00000000" w14:paraId="0000000C">
      <w:pPr>
        <w:jc w:val="center"/>
        <w:rPr>
          <w:rFonts w:ascii="Arial" w:cs="Arial" w:eastAsia="Arial" w:hAnsi="Arial"/>
          <w:b w:val="1"/>
          <w:i w:val="1"/>
        </w:rPr>
      </w:pPr>
      <w:r w:rsidDel="00000000" w:rsidR="00000000" w:rsidRPr="00000000">
        <w:rPr>
          <w:rFonts w:ascii="Arial" w:cs="Arial" w:eastAsia="Arial" w:hAnsi="Arial"/>
          <w:b w:val="1"/>
          <w:i w:val="1"/>
          <w:rtl w:val="0"/>
        </w:rPr>
        <w:t xml:space="preserve">DE PROGRAMAS DE EDUCACIÓN CONTINUADA</w:t>
      </w:r>
    </w:p>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tbl>
      <w:tblPr>
        <w:tblStyle w:val="Table1"/>
        <w:tblW w:w="103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8445"/>
        <w:tblGridChange w:id="0">
          <w:tblGrid>
            <w:gridCol w:w="1920"/>
            <w:gridCol w:w="8445"/>
          </w:tblGrid>
        </w:tblGridChange>
      </w:tblGrid>
      <w:tr>
        <w:trPr>
          <w:trHeight w:val="600" w:hRule="atLeast"/>
        </w:trPr>
        <w:tc>
          <w:tcPr>
            <w:shd w:fill="auto" w:val="clear"/>
          </w:tcPr>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tc>
      </w:tr>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tc>
      </w:tr>
    </w:tbl>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sz w:val="18"/>
          <w:szCs w:val="18"/>
        </w:rPr>
      </w:pPr>
      <w:r w:rsidDel="00000000" w:rsidR="00000000" w:rsidRPr="00000000">
        <w:rPr>
          <w:rtl w:val="0"/>
        </w:rPr>
      </w:r>
    </w:p>
    <w:tbl>
      <w:tblPr>
        <w:tblStyle w:val="Table3"/>
        <w:tblW w:w="10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95"/>
        <w:tblGridChange w:id="0">
          <w:tblGrid>
            <w:gridCol w:w="2400"/>
            <w:gridCol w:w="8295"/>
          </w:tblGrid>
        </w:tblGridChange>
      </w:tblGrid>
      <w:tr>
        <w:trPr>
          <w:trHeight w:val="840" w:hRule="atLeast"/>
        </w:trPr>
        <w:tc>
          <w:tcPr>
            <w:vMerge w:val="restart"/>
            <w:shd w:fill="auto"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la oferta y ejecución de programas de educación continuada</w:t>
            </w:r>
          </w:p>
        </w:tc>
      </w:tr>
      <w:tr>
        <w:trPr>
          <w:trHeight w:val="200" w:hRule="atLeast"/>
        </w:trPr>
        <w:tc>
          <w:tcPr>
            <w:vMerge w:val="continue"/>
            <w:shd w:fill="auto"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el personal de la Dirección de Proyección Social involucrado en la gestión de la educación continuada de la Universidad de Manizales. Inicia con la identificación de temáticas y culmina en el trámite del acta de liquidación.</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tl w:val="0"/>
              </w:rPr>
            </w:r>
          </w:p>
        </w:tc>
      </w:tr>
      <w:tr>
        <w:trPr>
          <w:trHeight w:val="840" w:hRule="atLeast"/>
        </w:trPr>
        <w:tc>
          <w:tcPr>
            <w:shd w:fill="f3f3f3" w:val="clear"/>
            <w:vAlign w:val="center"/>
          </w:tcPr>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05 de 2016 de Proyección Social</w:t>
            </w:r>
          </w:p>
        </w:tc>
      </w:tr>
      <w:tr>
        <w:trPr>
          <w:trHeight w:val="840" w:hRule="atLeast"/>
        </w:trPr>
        <w:tc>
          <w:tcPr>
            <w:shd w:fill="auto" w:val="clear"/>
            <w:vAlign w:val="center"/>
          </w:tcPr>
          <w:p w:rsidR="00000000" w:rsidDel="00000000" w:rsidP="00000000" w:rsidRDefault="00000000" w:rsidRPr="00000000" w14:paraId="0000004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Formación continuada: </w:t>
            </w:r>
            <w:r w:rsidDel="00000000" w:rsidR="00000000" w:rsidRPr="00000000">
              <w:rPr>
                <w:rFonts w:ascii="Arial" w:cs="Arial" w:eastAsia="Arial" w:hAnsi="Arial"/>
                <w:sz w:val="18"/>
                <w:szCs w:val="18"/>
                <w:rtl w:val="0"/>
              </w:rPr>
              <w:t xml:space="preserve">Se entiende por Formación Continuada, los planes, programas, proyectos y actividades orientados a la actualización del saber disciplinar y profesional de la comunidad académica, entidades públicas, privadas y comunidad en general, a través de diplomados, cursos, talleres, seminarios, simposios y eventos, entre otros.</w:t>
            </w:r>
            <w:r w:rsidDel="00000000" w:rsidR="00000000" w:rsidRPr="00000000">
              <w:rPr>
                <w:rtl w:val="0"/>
              </w:rPr>
            </w:r>
          </w:p>
        </w:tc>
      </w:tr>
      <w:tr>
        <w:trPr>
          <w:trHeight w:val="760" w:hRule="atLeast"/>
        </w:trPr>
        <w:tc>
          <w:tcPr>
            <w:shd w:fill="f3f3f3" w:val="clear"/>
            <w:vAlign w:val="center"/>
          </w:tcPr>
          <w:p w:rsidR="00000000" w:rsidDel="00000000" w:rsidP="00000000" w:rsidRDefault="00000000" w:rsidRPr="00000000" w14:paraId="0000004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tbl>
      <w:tblPr>
        <w:tblStyle w:val="Table4"/>
        <w:tblW w:w="10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425"/>
        <w:tblGridChange w:id="0">
          <w:tblGrid>
            <w:gridCol w:w="945"/>
            <w:gridCol w:w="2340"/>
            <w:gridCol w:w="7425"/>
          </w:tblGrid>
        </w:tblGridChange>
      </w:tblGrid>
      <w:tr>
        <w:trPr>
          <w:trHeight w:val="760" w:hRule="atLeast"/>
        </w:trPr>
        <w:tc>
          <w:tcPr>
            <w:shd w:fill="92d050" w:val="cle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Observatorio de Graduados - Dirección de Proyección Social</w:t>
            </w:r>
          </w:p>
        </w:tc>
        <w:tc>
          <w:tcPr>
            <w:shd w:fill="auto" w:val="clear"/>
          </w:tcPr>
          <w:p w:rsidR="00000000" w:rsidDel="00000000" w:rsidP="00000000" w:rsidRDefault="00000000" w:rsidRPr="00000000" w14:paraId="0000004C">
            <w:pPr>
              <w:jc w:val="both"/>
              <w:rPr>
                <w:rFonts w:ascii="Arial" w:cs="Arial" w:eastAsia="Arial" w:hAnsi="Arial"/>
                <w:b w:val="1"/>
              </w:rPr>
            </w:pPr>
            <w:r w:rsidDel="00000000" w:rsidR="00000000" w:rsidRPr="00000000">
              <w:rPr>
                <w:rFonts w:ascii="Arial" w:cs="Arial" w:eastAsia="Arial" w:hAnsi="Arial"/>
                <w:b w:val="1"/>
                <w:rtl w:val="0"/>
              </w:rPr>
              <w:t xml:space="preserve">Identificación de temáticas:</w:t>
            </w:r>
          </w:p>
          <w:p w:rsidR="00000000" w:rsidDel="00000000" w:rsidP="00000000" w:rsidRDefault="00000000" w:rsidRPr="00000000" w14:paraId="0000004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Análisis de información suministrada por el observatorio de graduados, acerca de las temáticas de interés por parte de los graduados y los empresarios.</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Dirección de Proyección Social </w:t>
            </w:r>
          </w:p>
        </w:tc>
        <w:tc>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Construcción de propuesta técnica y financiera de formación:</w:t>
            </w:r>
          </w:p>
          <w:p w:rsidR="00000000" w:rsidDel="00000000" w:rsidP="00000000" w:rsidRDefault="00000000" w:rsidRPr="00000000" w14:paraId="00000053">
            <w:pPr>
              <w:jc w:val="both"/>
              <w:rPr>
                <w:rFonts w:ascii="Arial" w:cs="Arial" w:eastAsia="Arial" w:hAnsi="Arial"/>
                <w:b w:val="1"/>
              </w:rPr>
            </w:pPr>
            <w:r w:rsidDel="00000000" w:rsidR="00000000" w:rsidRPr="00000000">
              <w:rPr>
                <w:rFonts w:ascii="Arial" w:cs="Arial" w:eastAsia="Arial" w:hAnsi="Arial"/>
                <w:b w:val="1"/>
                <w:rtl w:val="0"/>
              </w:rPr>
              <w:t xml:space="preserve">FOrmato de educacion continuada</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Diseño del programa de formación: objetivos, alcance, metodología, temáticas, plan de trabajo, perfiles del personal profesional docente y presupuesto.</w:t>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PS-FOR-010</w:t>
            </w:r>
          </w:p>
        </w:tc>
      </w:tr>
      <w:tr>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Dirección de Proyección Social</w:t>
            </w:r>
          </w:p>
        </w:tc>
        <w:tc>
          <w:tcPr/>
          <w:p w:rsidR="00000000" w:rsidDel="00000000" w:rsidP="00000000" w:rsidRDefault="00000000" w:rsidRPr="00000000" w14:paraId="00000059">
            <w:pPr>
              <w:jc w:val="both"/>
              <w:rPr>
                <w:rFonts w:ascii="Arial" w:cs="Arial" w:eastAsia="Arial" w:hAnsi="Arial"/>
                <w:b w:val="1"/>
              </w:rPr>
            </w:pPr>
            <w:r w:rsidDel="00000000" w:rsidR="00000000" w:rsidRPr="00000000">
              <w:rPr>
                <w:rFonts w:ascii="Arial" w:cs="Arial" w:eastAsia="Arial" w:hAnsi="Arial"/>
                <w:b w:val="1"/>
                <w:rtl w:val="0"/>
              </w:rPr>
              <w:t xml:space="preserve">Revisión y aprobación de propuesta de formación:</w:t>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Revisión de las condiciones técnicas y financieras para la ejecución del proyecto.</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cumple con los parámetros establecidos, la propuesta continua, de lo contrario se hacen ajustes.</w:t>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Observatorio de Graduados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Facultades</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Dirección de comunicaciones</w:t>
            </w:r>
          </w:p>
        </w:tc>
        <w:tc>
          <w:tcPr>
            <w:shd w:fill="auto" w:val="clear"/>
          </w:tcPr>
          <w:p w:rsidR="00000000" w:rsidDel="00000000" w:rsidP="00000000" w:rsidRDefault="00000000" w:rsidRPr="00000000" w14:paraId="00000065">
            <w:pPr>
              <w:jc w:val="both"/>
              <w:rPr>
                <w:rFonts w:ascii="Arial" w:cs="Arial" w:eastAsia="Arial" w:hAnsi="Arial"/>
                <w:b w:val="1"/>
              </w:rPr>
            </w:pPr>
            <w:r w:rsidDel="00000000" w:rsidR="00000000" w:rsidRPr="00000000">
              <w:rPr>
                <w:rFonts w:ascii="Arial" w:cs="Arial" w:eastAsia="Arial" w:hAnsi="Arial"/>
                <w:b w:val="1"/>
                <w:rtl w:val="0"/>
              </w:rPr>
              <w:t xml:space="preserve">Publicación del programa de formación:</w:t>
            </w:r>
          </w:p>
          <w:p w:rsidR="00000000" w:rsidDel="00000000" w:rsidP="00000000" w:rsidRDefault="00000000" w:rsidRPr="00000000" w14:paraId="0000006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La promoción se hace a través de mailing de facultades, el observatorio de graduados y la dirección de comunicaciones y mercadeo, mediante el diseño de un plan de comunicaciones, publicidad y mercadeo.</w:t>
            </w:r>
          </w:p>
          <w:p w:rsidR="00000000" w:rsidDel="00000000" w:rsidP="00000000" w:rsidRDefault="00000000" w:rsidRPr="00000000" w14:paraId="0000006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rPr>
            </w:pPr>
            <w:r w:rsidDel="00000000" w:rsidR="00000000" w:rsidRPr="00000000">
              <w:rPr>
                <w:rtl w:val="0"/>
              </w:rPr>
            </w:r>
          </w:p>
        </w:tc>
      </w:tr>
      <w:tr>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shd w:fill="auto" w:val="clear"/>
          </w:tcPr>
          <w:p w:rsidR="00000000" w:rsidDel="00000000" w:rsidP="00000000" w:rsidRDefault="00000000" w:rsidRPr="00000000" w14:paraId="0000006C">
            <w:pPr>
              <w:jc w:val="both"/>
              <w:rPr>
                <w:rFonts w:ascii="Arial" w:cs="Arial" w:eastAsia="Arial" w:hAnsi="Arial"/>
                <w:b w:val="1"/>
              </w:rPr>
            </w:pPr>
            <w:r w:rsidDel="00000000" w:rsidR="00000000" w:rsidRPr="00000000">
              <w:rPr>
                <w:rFonts w:ascii="Arial" w:cs="Arial" w:eastAsia="Arial" w:hAnsi="Arial"/>
                <w:b w:val="1"/>
                <w:rtl w:val="0"/>
              </w:rPr>
              <w:t xml:space="preserve">Registro académico y financiero del proceso de formación: </w:t>
            </w:r>
          </w:p>
          <w:p w:rsidR="00000000" w:rsidDel="00000000" w:rsidP="00000000" w:rsidRDefault="00000000" w:rsidRPr="00000000" w14:paraId="0000006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Creación del programa de formación ante registro académico para la inscripción de estudiantes y ante división financiera creación de centro de utilidad para definir la cancelación de matrículas, en caso de pagarse. De lo contrario; la matrícula de 1 (gratis-promoción de programas)</w:t>
            </w:r>
          </w:p>
        </w:tc>
      </w:tr>
      <w:tr>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Personas interesadas (estudiantes)</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Coordinador de programa de formación</w:t>
            </w:r>
          </w:p>
          <w:p w:rsidR="00000000" w:rsidDel="00000000" w:rsidP="00000000" w:rsidRDefault="00000000" w:rsidRPr="00000000" w14:paraId="00000073">
            <w:pPr>
              <w:rPr>
                <w:rFonts w:ascii="Arial" w:cs="Arial" w:eastAsia="Arial" w:hAnsi="Arial"/>
              </w:rPr>
            </w:pPr>
            <w:r w:rsidDel="00000000" w:rsidR="00000000" w:rsidRPr="00000000">
              <w:rPr>
                <w:rtl w:val="0"/>
              </w:rPr>
            </w:r>
          </w:p>
        </w:tc>
        <w:tc>
          <w:tcPr/>
          <w:p w:rsidR="00000000" w:rsidDel="00000000" w:rsidP="00000000" w:rsidRDefault="00000000" w:rsidRPr="00000000" w14:paraId="00000074">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Preinscripción</w:t>
            </w:r>
          </w:p>
          <w:p w:rsidR="00000000" w:rsidDel="00000000" w:rsidP="00000000" w:rsidRDefault="00000000" w:rsidRPr="00000000" w14:paraId="00000075">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ind w:left="0" w:firstLine="0"/>
              <w:jc w:val="both"/>
              <w:rPr>
                <w:rFonts w:ascii="Arial" w:cs="Arial" w:eastAsia="Arial" w:hAnsi="Arial"/>
              </w:rPr>
            </w:pPr>
            <w:r w:rsidDel="00000000" w:rsidR="00000000" w:rsidRPr="00000000">
              <w:rPr>
                <w:rFonts w:ascii="Arial" w:cs="Arial" w:eastAsia="Arial" w:hAnsi="Arial"/>
                <w:rtl w:val="0"/>
              </w:rPr>
              <w:t xml:space="preserve">Existen dos opciones para realizar el proceso de preinscripción:</w:t>
            </w:r>
          </w:p>
          <w:p w:rsidR="00000000" w:rsidDel="00000000" w:rsidP="00000000" w:rsidRDefault="00000000" w:rsidRPr="00000000" w14:paraId="0000007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ind w:left="0" w:firstLine="0"/>
              <w:jc w:val="both"/>
              <w:rPr>
                <w:rFonts w:ascii="Arial" w:cs="Arial" w:eastAsia="Arial" w:hAnsi="Arial"/>
              </w:rPr>
            </w:pPr>
            <w:r w:rsidDel="00000000" w:rsidR="00000000" w:rsidRPr="00000000">
              <w:rPr>
                <w:rFonts w:ascii="Arial" w:cs="Arial" w:eastAsia="Arial" w:hAnsi="Arial"/>
                <w:rtl w:val="0"/>
              </w:rPr>
              <w:t xml:space="preserve">Opción 1: El participante ingresa a la página de la universidad y realiza el proceso, llenando los formularios activos</w:t>
            </w:r>
          </w:p>
          <w:p w:rsidR="00000000" w:rsidDel="00000000" w:rsidP="00000000" w:rsidRDefault="00000000" w:rsidRPr="00000000" w14:paraId="00000079">
            <w:pPr>
              <w:ind w:left="0" w:firstLine="0"/>
              <w:jc w:val="both"/>
              <w:rPr>
                <w:rFonts w:ascii="Arial" w:cs="Arial" w:eastAsia="Arial" w:hAnsi="Arial"/>
              </w:rPr>
            </w:pPr>
            <w:r w:rsidDel="00000000" w:rsidR="00000000" w:rsidRPr="00000000">
              <w:rPr>
                <w:rFonts w:ascii="Arial" w:cs="Arial" w:eastAsia="Arial" w:hAnsi="Arial"/>
                <w:rtl w:val="0"/>
              </w:rPr>
              <w:t xml:space="preserve">Opción 2: El coordinador del proceso hace el proceso de preinscripción.</w:t>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7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la demanda del programa es acorde al punto de equilibrio, se sigue con el paso 7; de lo contrario, finaliza el procedimiento</w:t>
            </w: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Estudiante</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1">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Inscripción:</w:t>
            </w:r>
          </w:p>
          <w:p w:rsidR="00000000" w:rsidDel="00000000" w:rsidP="00000000" w:rsidRDefault="00000000" w:rsidRPr="00000000" w14:paraId="00000082">
            <w:pPr>
              <w:ind w:left="0" w:firstLine="0"/>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83">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Estudiante </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8">
            <w:pPr>
              <w:jc w:val="both"/>
              <w:rPr>
                <w:rFonts w:ascii="Arial" w:cs="Arial" w:eastAsia="Arial" w:hAnsi="Arial"/>
                <w:b w:val="1"/>
              </w:rPr>
            </w:pPr>
            <w:r w:rsidDel="00000000" w:rsidR="00000000" w:rsidRPr="00000000">
              <w:rPr>
                <w:rFonts w:ascii="Arial" w:cs="Arial" w:eastAsia="Arial" w:hAnsi="Arial"/>
                <w:b w:val="1"/>
                <w:rtl w:val="0"/>
              </w:rPr>
              <w:t xml:space="preserve">Matrícula:</w:t>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El estudiante legaliza su matrícula a través de la cancelación de la misma, en el caso que sea necesario. Debido a que hay ocasiones en las que el programa de formación es gratis.</w:t>
            </w:r>
          </w:p>
        </w:tc>
      </w:tr>
      <w:tr>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b w:val="1"/>
                <w:rtl w:val="0"/>
              </w:rPr>
              <w:t xml:space="preserve">Selección del equipo de trabajo:</w:t>
            </w: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El equipo de trabajo deberá cumplir con los perfiles requeridos y a los preseleccionados se les aplica el proceso de selección (entrevistas, pruebas psicotécnicas), posteriormente se lleva a cabo el proceso de contratación.</w:t>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En caso de ser un contrato por prestación de servicios se selecciona el personal sin el proceso descrito en este paso.</w:t>
            </w:r>
          </w:p>
        </w:tc>
      </w:tr>
      <w:tr>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El coordinador debe hacer la solicitud de viáticos en caso de que el programa requiera de traslados. Además, si se requieren compras de insumos, materiales, equipos, etc se deben solicitar de igual forma.</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Se entregan paz y salvo cuando el contrato lo requiera, los cuales dependen del resultado, es decir, que se cumpla con lo pactado en el periodo correspondiente.</w:t>
            </w:r>
          </w:p>
          <w:p w:rsidR="00000000" w:rsidDel="00000000" w:rsidP="00000000" w:rsidRDefault="00000000" w:rsidRPr="00000000" w14:paraId="00000096">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9">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Presentación de informe final:</w:t>
            </w:r>
          </w:p>
          <w:p w:rsidR="00000000" w:rsidDel="00000000" w:rsidP="00000000" w:rsidRDefault="00000000" w:rsidRPr="00000000" w14:paraId="0000009A">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B">
            <w:pPr>
              <w:ind w:left="0" w:firstLine="0"/>
              <w:jc w:val="both"/>
              <w:rPr>
                <w:rFonts w:ascii="Arial" w:cs="Arial" w:eastAsia="Arial" w:hAnsi="Arial"/>
              </w:rPr>
            </w:pPr>
            <w:r w:rsidDel="00000000" w:rsidR="00000000" w:rsidRPr="00000000">
              <w:rPr>
                <w:rFonts w:ascii="Arial" w:cs="Arial" w:eastAsia="Arial" w:hAnsi="Arial"/>
                <w:rtl w:val="0"/>
              </w:rPr>
              <w:t xml:space="preserve">Incluye la evaluación docente, las metodologías e infraestructura.</w:t>
            </w:r>
          </w:p>
          <w:p w:rsidR="00000000" w:rsidDel="00000000" w:rsidP="00000000" w:rsidRDefault="00000000" w:rsidRPr="00000000" w14:paraId="0000009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Evaluación docente: PS-FOR-009</w:t>
            </w:r>
          </w:p>
          <w:p w:rsidR="00000000" w:rsidDel="00000000" w:rsidP="00000000" w:rsidRDefault="00000000" w:rsidRPr="00000000" w14:paraId="0000009D">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A0">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Certificación</w:t>
            </w:r>
          </w:p>
          <w:p w:rsidR="00000000" w:rsidDel="00000000" w:rsidP="00000000" w:rsidRDefault="00000000" w:rsidRPr="00000000" w14:paraId="000000A1">
            <w:pPr>
              <w:ind w:left="0" w:firstLine="0"/>
              <w:jc w:val="both"/>
              <w:rPr>
                <w:rFonts w:ascii="Arial" w:cs="Arial" w:eastAsia="Arial" w:hAnsi="Arial"/>
              </w:rPr>
            </w:pPr>
            <w:r w:rsidDel="00000000" w:rsidR="00000000" w:rsidRPr="00000000">
              <w:rPr>
                <w:rFonts w:ascii="Arial" w:cs="Arial" w:eastAsia="Arial" w:hAnsi="Arial"/>
                <w:rtl w:val="0"/>
              </w:rPr>
              <w:t xml:space="preserve">Entregar certificados</w:t>
            </w:r>
          </w:p>
          <w:p w:rsidR="00000000" w:rsidDel="00000000" w:rsidP="00000000" w:rsidRDefault="00000000" w:rsidRPr="00000000" w14:paraId="000000A2">
            <w:pPr>
              <w:ind w:left="720" w:hanging="36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Coordinador del proceso de formación o el interventor de la empresa contratante.</w:t>
            </w:r>
          </w:p>
        </w:tc>
        <w:tc>
          <w:tcPr/>
          <w:p w:rsidR="00000000" w:rsidDel="00000000" w:rsidP="00000000" w:rsidRDefault="00000000" w:rsidRPr="00000000" w14:paraId="000000A5">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Acta de liquidación </w:t>
            </w:r>
          </w:p>
          <w:p w:rsidR="00000000" w:rsidDel="00000000" w:rsidP="00000000" w:rsidRDefault="00000000" w:rsidRPr="00000000" w14:paraId="000000A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ind w:left="0" w:firstLine="0"/>
              <w:jc w:val="both"/>
              <w:rPr>
                <w:rFonts w:ascii="Arial" w:cs="Arial" w:eastAsia="Arial" w:hAnsi="Arial"/>
                <w:b w:val="1"/>
              </w:rPr>
            </w:pPr>
            <w:r w:rsidDel="00000000" w:rsidR="00000000" w:rsidRPr="00000000">
              <w:rPr>
                <w:rFonts w:ascii="Arial" w:cs="Arial" w:eastAsia="Arial" w:hAnsi="Arial"/>
                <w:rtl w:val="0"/>
              </w:rPr>
              <w:t xml:space="preserve">Cuando el programa de educación continuada es contratado se lleva a cabo acta de liquidación; si es una iniciativa de la universidad, no se presenta.</w:t>
            </w:r>
            <w:r w:rsidDel="00000000" w:rsidR="00000000" w:rsidRPr="00000000">
              <w:rPr>
                <w:rtl w:val="0"/>
              </w:rPr>
            </w:r>
          </w:p>
        </w:tc>
      </w:tr>
    </w:tbl>
    <w:p w:rsidR="00000000" w:rsidDel="00000000" w:rsidP="00000000" w:rsidRDefault="00000000" w:rsidRPr="00000000" w14:paraId="000000A8">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AA">
      <w:pPr>
        <w:rPr>
          <w:rFonts w:ascii="Arial" w:cs="Arial" w:eastAsia="Arial" w:hAnsi="Arial"/>
          <w:b w:val="1"/>
          <w:sz w:val="18"/>
          <w:szCs w:val="18"/>
        </w:rPr>
      </w:pPr>
      <w:r w:rsidDel="00000000" w:rsidR="00000000" w:rsidRPr="00000000">
        <w:rPr>
          <w:rtl w:val="0"/>
        </w:rPr>
      </w:r>
    </w:p>
    <w:tbl>
      <w:tblPr>
        <w:tblStyle w:val="Table5"/>
        <w:tblW w:w="8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950"/>
        <w:tblGridChange w:id="0">
          <w:tblGrid>
            <w:gridCol w:w="6120"/>
            <w:gridCol w:w="1950"/>
          </w:tblGrid>
        </w:tblGridChange>
      </w:tblGrid>
      <w:tr>
        <w:trPr>
          <w:trHeight w:val="280" w:hRule="atLeast"/>
        </w:trPr>
        <w:tc>
          <w:tcPr/>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Proyección Social</w:t>
            </w:r>
          </w:p>
        </w:tc>
        <w:tc>
          <w:tcPr/>
          <w:p w:rsidR="00000000" w:rsidDel="00000000" w:rsidP="00000000" w:rsidRDefault="00000000" w:rsidRPr="00000000" w14:paraId="000000AC">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r>
        <w:trPr>
          <w:trHeight w:val="280" w:hRule="atLeast"/>
        </w:trPr>
        <w:tc>
          <w:tcPr/>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Instructivo para la pre e inscripción en programas de educación continuada</w:t>
            </w:r>
          </w:p>
        </w:tc>
        <w:tc>
          <w:tcPr/>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PS-IT-003</w:t>
            </w:r>
          </w:p>
        </w:tc>
      </w:tr>
    </w:tbl>
    <w:p w:rsidR="00000000" w:rsidDel="00000000" w:rsidP="00000000" w:rsidRDefault="00000000" w:rsidRPr="00000000" w14:paraId="000000A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B1">
      <w:pPr>
        <w:rPr>
          <w:rFonts w:ascii="Arial" w:cs="Arial" w:eastAsia="Arial" w:hAnsi="Arial"/>
          <w:b w:val="1"/>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280" w:hRule="atLeast"/>
        </w:trPr>
        <w:tc>
          <w:tcPr/>
          <w:p w:rsidR="00000000" w:rsidDel="00000000" w:rsidP="00000000" w:rsidRDefault="00000000" w:rsidRPr="00000000" w14:paraId="000000B2">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B4">
            <w:pPr>
              <w:rPr>
                <w:rFonts w:ascii="Arial" w:cs="Arial" w:eastAsia="Arial" w:hAnsi="Arial"/>
                <w:sz w:val="18"/>
                <w:szCs w:val="18"/>
              </w:rPr>
            </w:pPr>
            <w:r w:rsidDel="00000000" w:rsidR="00000000" w:rsidRPr="00000000">
              <w:rPr>
                <w:rFonts w:ascii="Arial" w:cs="Arial" w:eastAsia="Arial" w:hAnsi="Arial"/>
                <w:sz w:val="18"/>
                <w:szCs w:val="18"/>
                <w:rtl w:val="0"/>
              </w:rPr>
              <w:t xml:space="preserve">Propuesta de formación</w:t>
            </w:r>
          </w:p>
        </w:tc>
        <w:tc>
          <w:tcPr/>
          <w:p w:rsidR="00000000" w:rsidDel="00000000" w:rsidP="00000000" w:rsidRDefault="00000000" w:rsidRPr="00000000" w14:paraId="000000B5">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PS-FOR-009</w:t>
            </w:r>
          </w:p>
        </w:tc>
      </w:tr>
      <w:tr>
        <w:trPr>
          <w:trHeight w:val="280" w:hRule="atLeast"/>
        </w:trPr>
        <w:tc>
          <w:tcPr/>
          <w:p w:rsidR="00000000" w:rsidDel="00000000" w:rsidP="00000000" w:rsidRDefault="00000000" w:rsidRPr="00000000" w14:paraId="000000B6">
            <w:pP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del programa de formación</w:t>
            </w:r>
          </w:p>
        </w:tc>
        <w:tc>
          <w:tcPr/>
          <w:p w:rsidR="00000000" w:rsidDel="00000000" w:rsidP="00000000" w:rsidRDefault="00000000" w:rsidRPr="00000000" w14:paraId="000000B7">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PS-FOR-010</w:t>
            </w:r>
          </w:p>
        </w:tc>
      </w:tr>
    </w:tbl>
    <w:p w:rsidR="00000000" w:rsidDel="00000000" w:rsidP="00000000" w:rsidRDefault="00000000" w:rsidRPr="00000000" w14:paraId="000000B8">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BA">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BB">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BC">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OFERTA Y EJECUCIÓN DE PROGRAMAS DE EDUCACIÓN CONTINUADA</w:t>
          </w:r>
        </w:p>
      </w:tc>
      <w:tc>
        <w:tcPr>
          <w:vMerge w:val="restart"/>
        </w:tcPr>
        <w:p w:rsidR="00000000" w:rsidDel="00000000" w:rsidP="00000000" w:rsidRDefault="00000000" w:rsidRPr="00000000" w14:paraId="000000BD">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E">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B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PS-PRO-005</w:t>
          </w:r>
        </w:p>
      </w:tc>
    </w:tr>
    <w:tr>
      <w:trPr>
        <w:trHeight w:val="380" w:hRule="atLeast"/>
      </w:trPr>
      <w:tc>
        <w:tcPr>
          <w:vMerge w:val="continue"/>
        </w:tcPr>
        <w:p w:rsidR="00000000" w:rsidDel="00000000" w:rsidP="00000000" w:rsidRDefault="00000000" w:rsidRPr="00000000" w14:paraId="000000C0">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1">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C2">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C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C5">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8">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C9">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06/05/2019</w:t>
          </w:r>
        </w:p>
      </w:tc>
    </w:tr>
    <w:tr>
      <w:trPr>
        <w:trHeight w:val="300" w:hRule="atLeast"/>
      </w:trPr>
      <w:tc>
        <w:tcPr>
          <w:vMerge w:val="continue"/>
        </w:tcPr>
        <w:p w:rsidR="00000000" w:rsidDel="00000000" w:rsidP="00000000" w:rsidRDefault="00000000" w:rsidRPr="00000000" w14:paraId="000000CA">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B">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D">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CE">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F">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