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PERSONAL DOCENTE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Seleccionar personal docente para la Universidad de Manizales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del Trabajo sobre contratación.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Educación sobre contratación docente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N° 17 de 5 de noviembre por medio del cual se aprueba el estatuto de los Académicos en la Universidad de Manizales. 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convocatoria. 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049 de marzo 29 de 1996 sobre contratación de docentes para la Universidad de Manizales.</w:t>
                </w:r>
              </w:p>
            </w:sdtContent>
          </w:sdt>
        </w:tc>
      </w:tr>
    </w:tbl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Formatos para convocatorias internas y externas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1" w:type="default"/>
      <w:footerReference r:id="rId12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2"/>
    </w:sdtPr>
    <w:sdtContent>
      <w:p w:rsidR="00000000" w:rsidDel="00000000" w:rsidP="00000000" w:rsidRDefault="00000000" w:rsidRPr="00000000" w14:paraId="000000B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3"/>
    </w:sdtPr>
    <w:sdtContent>
      <w:p w:rsidR="00000000" w:rsidDel="00000000" w:rsidP="00000000" w:rsidRDefault="00000000" w:rsidRPr="00000000" w14:paraId="000000B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9"/>
    </w:sdtPr>
    <w:sdtContent>
      <w:p w:rsidR="00000000" w:rsidDel="00000000" w:rsidP="00000000" w:rsidRDefault="00000000" w:rsidRPr="00000000" w14:paraId="000000A0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DOCENTE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DH-PRO-002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1"/>
    </w:sdtPr>
    <w:sdtContent>
      <w:p w:rsidR="00000000" w:rsidDel="00000000" w:rsidP="00000000" w:rsidRDefault="00000000" w:rsidRPr="00000000" w14:paraId="000000B6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procesoseleccion@umanizales.edu.co" TargetMode="External"/><Relationship Id="rId12" Type="http://schemas.openxmlformats.org/officeDocument/2006/relationships/footer" Target="footer1.xml"/><Relationship Id="rId9" Type="http://schemas.openxmlformats.org/officeDocument/2006/relationships/hyperlink" Target="mailto:procesoseleccion@umanizales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personalid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bnAvE/DNibc4mLy1A/MsrGLZw==">AMUW2mXhXjObc+e7wLrNXeuEq5YGkNMi1zgSsLbH+5DN+D3iFG6LzLt2BqjVaK2AAmXL7XOwObHWJoFxVGo0hRAnpCg75hAkmMT8NhOvuBqp1uMf1lUnKkQ=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2019-05-08T21:25:00Z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