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ELABORACIÓN DE CERTIFICADOS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elaborar certificados y verificaciones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solicitud del certificado y culmina con la entrega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Capitulo XIII Articulos 135, 136, 137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solicitante realiza el pago del certificado (notas o estudio) en Tesorería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de llenar el formulario de solicitud que se encuentra en la parte trasera del recibo de pago, con los datos personales y la especificación del certificado que desea. 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yellow"/>
                    <w:rtl w:val="0"/>
                  </w:rPr>
                  <w:t xml:space="preserve">Formulario de solicitud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funcionario de ARCA verifica la información y realiza el certificado en la plataforma SIGUM y lo imprime en hoja membrete.con sello seco o de tinta,. Cabe mencionar que esta viene firmada por el Director de ARCA.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entrega del certificado al solicitante, se requiere la cédula para corroborar que es estudiante o egresado de la UM; de no serlo se solicita autorización por correo electrónico. Dicha autorización debe ser enviada desde la cuenta electrónica del estudiante o egresado registrada en información personal en el SIGUM o una carta firmada en original con copia de la cédula.</w:t>
                </w:r>
              </w:p>
            </w:sdtContent>
          </w:sdt>
        </w:tc>
      </w:tr>
    </w:tbl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</w:tbl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de solicitud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7"/>
    </w:sdtPr>
    <w:sdtContent>
      <w:p w:rsidR="00000000" w:rsidDel="00000000" w:rsidP="00000000" w:rsidRDefault="00000000" w:rsidRPr="00000000" w14:paraId="0000008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28"/>
    </w:sdtPr>
    <w:sdtContent>
      <w:p w:rsidR="00000000" w:rsidDel="00000000" w:rsidP="00000000" w:rsidRDefault="00000000" w:rsidRPr="00000000" w14:paraId="0000008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3"/>
    </w:sdtPr>
    <w:sdtContent>
      <w:p w:rsidR="00000000" w:rsidDel="00000000" w:rsidP="00000000" w:rsidRDefault="00000000" w:rsidRPr="00000000" w14:paraId="00000068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94620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5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ELABORACIÓN DE CERTIFICADOS</w:t>
              </w:r>
            </w:p>
          </w:sdtContent>
        </w:sdt>
      </w:tc>
      <w:tc>
        <w:tcPr>
          <w:vMerge w:val="restart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26"/>
    </w:sdtPr>
    <w:sdtContent>
      <w:p w:rsidR="00000000" w:rsidDel="00000000" w:rsidP="00000000" w:rsidRDefault="00000000" w:rsidRPr="00000000" w14:paraId="0000007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ovRr75r/+fjNgz52dsSFlGasg==">AMUW2mVkP2hBAcS1kazt6V2LnLrTEW02eehTLczyAyhTSw9Uvyo4STkvGptfZRwj7xmeqJq8kNNTtK4GaJtZqJmhB8t7VZsZISDPt4TU/kxEBOCQrJKcnMk=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