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EL REINGRESO</w:t>
          </w:r>
        </w:p>
      </w:sdtContent>
    </w:sdt>
    <w:sdt>
      <w:sdtPr>
        <w:tag w:val="goog_rdk_13"/>
      </w:sdtPr>
      <w:sdtContent>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 DE ESTUDIANTES INACTIVOS</w:t>
          </w:r>
        </w:p>
      </w:sdtContent>
    </w:sdt>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sdtContent>
    </w:sdt>
    <w:tbl>
      <w:tblPr>
        <w:tblStyle w:val="Table1"/>
        <w:tblW w:w="1033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8445"/>
        <w:tblGridChange w:id="0">
          <w:tblGrid>
            <w:gridCol w:w="1890"/>
            <w:gridCol w:w="8445"/>
          </w:tblGrid>
        </w:tblGridChange>
      </w:tblGrid>
      <w:tr>
        <w:trPr>
          <w:trHeight w:val="600" w:hRule="atLeast"/>
        </w:trPr>
        <w:tc>
          <w:tcPr>
            <w:shd w:fill="auto" w:val="clear"/>
          </w:tcPr>
          <w:sdt>
            <w:sdtPr>
              <w:tag w:val="goog_rdk_22"/>
            </w:sdtPr>
            <w:sdtContent>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sdtContent>
          </w:sdt>
        </w:tc>
        <w:tc>
          <w:tcPr>
            <w:shd w:fill="auto" w:val="clear"/>
          </w:tcPr>
          <w:sdt>
            <w:sdtPr>
              <w:tag w:val="goog_rdk_23"/>
            </w:sdtPr>
            <w:sdtContent>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tc>
        <w:tc>
          <w:tcPr>
            <w:shd w:fill="auto" w:val="clear"/>
          </w:tcPr>
          <w:sdt>
            <w:sdtPr>
              <w:tag w:val="goog_rdk_25"/>
            </w:sdtPr>
            <w:sdtContent>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26"/>
            </w:sdtPr>
            <w:sdtContent>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sdtContent>
          </w:sdt>
        </w:tc>
        <w:tc>
          <w:tcPr>
            <w:shd w:fill="auto" w:val="clear"/>
          </w:tcPr>
          <w:sdt>
            <w:sdtPr>
              <w:tag w:val="goog_rdk_27"/>
            </w:sdtPr>
            <w:sdtContent>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sdtContent>
          </w:sdt>
        </w:tc>
      </w:tr>
      <w:tr>
        <w:trPr>
          <w:trHeight w:val="680" w:hRule="atLeast"/>
        </w:trPr>
        <w:tc>
          <w:tcPr>
            <w:shd w:fill="auto" w:val="clear"/>
          </w:tcPr>
          <w:sdt>
            <w:sdtPr>
              <w:tag w:val="goog_rdk_28"/>
            </w:sdtPr>
            <w:sdtContent>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sdtContent>
          </w:sdt>
        </w:tc>
        <w:tc>
          <w:tcPr>
            <w:shd w:fill="auto" w:val="clear"/>
          </w:tcPr>
          <w:sdt>
            <w:sdtPr>
              <w:tag w:val="goog_rdk_29"/>
            </w:sdtPr>
            <w:sdtContent>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30"/>
            </w:sdtPr>
            <w:sdtContent>
              <w:p w:rsidR="00000000" w:rsidDel="00000000" w:rsidP="00000000" w:rsidRDefault="00000000" w:rsidRPr="00000000" w14:paraId="000000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31"/>
            </w:sdtPr>
            <w:sdtContent>
              <w:p w:rsidR="00000000" w:rsidDel="00000000" w:rsidP="00000000" w:rsidRDefault="00000000" w:rsidRPr="00000000" w14:paraId="000000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32"/>
      </w:sdtPr>
      <w:sdtContent>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0"/>
            </w:sdtPr>
            <w:sdtContent>
              <w:p w:rsidR="00000000" w:rsidDel="00000000" w:rsidP="00000000" w:rsidRDefault="00000000" w:rsidRPr="00000000" w14:paraId="0000002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tl w:val="0"/>
                  </w:rPr>
                </w:r>
              </w:p>
            </w:sdtContent>
          </w:sdt>
          <w:sdt>
            <w:sdtPr>
              <w:tag w:val="goog_rdk_42"/>
            </w:sdtPr>
            <w:sdtContent>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3"/>
      </w:sdtPr>
      <w:sdtContent>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jc w:val="center"/>
            <w:rPr>
              <w:rFonts w:ascii="Arial" w:cs="Arial" w:eastAsia="Arial" w:hAnsi="Arial"/>
              <w:sz w:val="18"/>
              <w:szCs w:val="18"/>
            </w:rPr>
          </w:pPr>
          <w:r w:rsidDel="00000000" w:rsidR="00000000" w:rsidRPr="00000000">
            <w:rPr>
              <w:rtl w:val="0"/>
            </w:rPr>
          </w:r>
        </w:p>
      </w:sdtContent>
    </w:sdt>
    <w:tbl>
      <w:tblPr>
        <w:tblStyle w:val="Table3"/>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80"/>
        <w:tblGridChange w:id="0">
          <w:tblGrid>
            <w:gridCol w:w="2400"/>
            <w:gridCol w:w="8280"/>
          </w:tblGrid>
        </w:tblGridChange>
      </w:tblGrid>
      <w:tr>
        <w:trPr>
          <w:trHeight w:val="840" w:hRule="atLeast"/>
        </w:trPr>
        <w:tc>
          <w:tcPr>
            <w:vMerge w:val="restart"/>
            <w:shd w:fill="auto" w:val="clear"/>
            <w:vAlign w:val="center"/>
          </w:tcPr>
          <w:sdt>
            <w:sdtPr>
              <w:tag w:val="goog_rdk_51"/>
            </w:sdtPr>
            <w:sdtContent>
              <w:p w:rsidR="00000000" w:rsidDel="00000000" w:rsidP="00000000" w:rsidRDefault="00000000" w:rsidRPr="00000000" w14:paraId="0000003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shd w:fill="auto" w:val="clear"/>
            <w:vAlign w:val="center"/>
          </w:tcPr>
          <w:sdt>
            <w:sdtPr>
              <w:tag w:val="goog_rdk_52"/>
            </w:sdtPr>
            <w:sdtContent>
              <w:p w:rsidR="00000000" w:rsidDel="00000000" w:rsidP="00000000" w:rsidRDefault="00000000" w:rsidRPr="00000000" w14:paraId="0000003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llevar a cabo el reingreso de estudiantes inactivos a la Universidad de Manizales</w:t>
                </w:r>
              </w:p>
            </w:sdtContent>
          </w:sdt>
        </w:tc>
      </w:tr>
      <w:tr>
        <w:trPr>
          <w:trHeight w:val="120" w:hRule="atLeast"/>
        </w:trPr>
        <w:tc>
          <w:tcPr>
            <w:vMerge w:val="continue"/>
            <w:shd w:fill="auto" w:val="clear"/>
            <w:vAlign w:val="center"/>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shd w:fill="auto" w:val="clear"/>
            <w:vAlign w:val="center"/>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480" w:hRule="atLeast"/>
        </w:trPr>
        <w:tc>
          <w:tcPr>
            <w:shd w:fill="auto" w:val="clear"/>
            <w:vAlign w:val="center"/>
          </w:tcPr>
          <w:sdt>
            <w:sdtPr>
              <w:tag w:val="goog_rdk_55"/>
            </w:sdtPr>
            <w:sdtContent>
              <w:p w:rsidR="00000000" w:rsidDel="00000000" w:rsidP="00000000" w:rsidRDefault="00000000" w:rsidRPr="00000000" w14:paraId="0000003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shd w:fill="auto" w:val="clear"/>
            <w:vAlign w:val="center"/>
          </w:tcPr>
          <w:sdt>
            <w:sdtPr>
              <w:tag w:val="goog_rdk_56"/>
            </w:sdtPr>
            <w:sdtContent>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Inicia con la solicitud del reingreso y culmina con el desbloqueo pertinente para que el solicitante ingrese a su perfil de estudiante.</w:t>
                </w:r>
              </w:p>
            </w:sdtContent>
          </w:sdt>
        </w:tc>
      </w:tr>
      <w:tr>
        <w:trPr>
          <w:trHeight w:val="84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sdtContent>
          </w:sdt>
        </w:tc>
        <w:tc>
          <w:tcPr>
            <w:vAlign w:val="center"/>
          </w:tcPr>
          <w:sdt>
            <w:sdtPr>
              <w:tag w:val="goog_rdk_58"/>
            </w:sdtPr>
            <w:sdtContent>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Reglamento Estudiantil y Reglamento  Disciplinario Estudiantil capítulo I Artículo 5, 6</w:t>
                </w:r>
              </w:p>
            </w:sdtContent>
          </w:sdt>
        </w:tc>
      </w:tr>
      <w:tr>
        <w:trPr>
          <w:trHeight w:val="840" w:hRule="atLeast"/>
        </w:trPr>
        <w:tc>
          <w:tcPr>
            <w:shd w:fill="auto" w:val="clear"/>
            <w:vAlign w:val="center"/>
          </w:tcPr>
          <w:sdt>
            <w:sdtPr>
              <w:tag w:val="goog_rdk_59"/>
            </w:sdtPr>
            <w:sdtContent>
              <w:p w:rsidR="00000000" w:rsidDel="00000000" w:rsidP="00000000" w:rsidRDefault="00000000" w:rsidRPr="00000000" w14:paraId="0000003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sdtContent>
          </w:sdt>
        </w:tc>
        <w:tc>
          <w:tcPr>
            <w:shd w:fill="auto" w:val="clear"/>
            <w:vAlign w:val="center"/>
          </w:tcPr>
          <w:sdt>
            <w:sdtPr>
              <w:tag w:val="goog_rdk_60"/>
            </w:sdtPr>
            <w:sdtContent>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ARCA: Admisiones, registro y control académico.</w:t>
                </w:r>
              </w:p>
            </w:sdtContent>
          </w:sdt>
        </w:tc>
      </w:tr>
      <w:tr>
        <w:trPr>
          <w:trHeight w:val="1140" w:hRule="atLeast"/>
        </w:trPr>
        <w:tc>
          <w:tcPr>
            <w:shd w:fill="f3f3f3" w:val="clear"/>
            <w:vAlign w:val="center"/>
          </w:tcPr>
          <w:sdt>
            <w:sdtPr>
              <w:tag w:val="goog_rdk_61"/>
            </w:sdtPr>
            <w:sdtContent>
              <w:p w:rsidR="00000000" w:rsidDel="00000000" w:rsidP="00000000" w:rsidRDefault="00000000" w:rsidRPr="00000000" w14:paraId="0000003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sdtContent>
          </w:sdt>
        </w:tc>
        <w:tc>
          <w:tcPr>
            <w:vAlign w:val="center"/>
          </w:tcPr>
          <w:sdt>
            <w:sdtPr>
              <w:tag w:val="goog_rdk_62"/>
            </w:sdtPr>
            <w:sdtContent>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sdtContent>
          </w:sdt>
        </w:tc>
      </w:tr>
    </w:tbl>
    <w:sdt>
      <w:sdtPr>
        <w:tag w:val="goog_rdk_63"/>
      </w:sdtPr>
      <w:sdtContent>
        <w:p w:rsidR="00000000" w:rsidDel="00000000" w:rsidP="00000000" w:rsidRDefault="00000000" w:rsidRPr="00000000" w14:paraId="00000040">
          <w:pPr>
            <w:rPr>
              <w:rFonts w:ascii="Arial" w:cs="Arial" w:eastAsia="Arial" w:hAnsi="Arial"/>
              <w:sz w:val="18"/>
              <w:szCs w:val="18"/>
            </w:rPr>
          </w:pPr>
          <w:r w:rsidDel="00000000" w:rsidR="00000000" w:rsidRPr="00000000">
            <w:rPr>
              <w:rtl w:val="0"/>
            </w:rPr>
          </w:r>
        </w:p>
      </w:sdtContent>
    </w:sdt>
    <w:sdt>
      <w:sdtPr>
        <w:tag w:val="goog_rdk_64"/>
      </w:sdtPr>
      <w:sdtContent>
        <w:p w:rsidR="00000000" w:rsidDel="00000000" w:rsidP="00000000" w:rsidRDefault="00000000" w:rsidRPr="00000000" w14:paraId="00000041">
          <w:pPr>
            <w:rPr>
              <w:rFonts w:ascii="Arial" w:cs="Arial" w:eastAsia="Arial" w:hAnsi="Arial"/>
              <w:sz w:val="18"/>
              <w:szCs w:val="18"/>
            </w:rPr>
          </w:pPr>
          <w:r w:rsidDel="00000000" w:rsidR="00000000" w:rsidRPr="00000000">
            <w:rPr>
              <w:rtl w:val="0"/>
            </w:rPr>
          </w:r>
        </w:p>
      </w:sdtContent>
    </w:sdt>
    <w:tbl>
      <w:tblPr>
        <w:tblStyle w:val="Table4"/>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395"/>
        <w:tblGridChange w:id="0">
          <w:tblGrid>
            <w:gridCol w:w="945"/>
            <w:gridCol w:w="2340"/>
            <w:gridCol w:w="7395"/>
          </w:tblGrid>
        </w:tblGridChange>
      </w:tblGrid>
      <w:tr>
        <w:trPr>
          <w:trHeight w:val="780" w:hRule="atLeast"/>
        </w:trPr>
        <w:tc>
          <w:tcPr>
            <w:shd w:fill="92d050" w:val="clear"/>
          </w:tcPr>
          <w:sdt>
            <w:sdtPr>
              <w:tag w:val="goog_rdk_65"/>
            </w:sdtPr>
            <w:sdtContent>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PASO </w:t>
                </w:r>
              </w:p>
            </w:sdtContent>
          </w:sdt>
        </w:tc>
        <w:tc>
          <w:tcPr>
            <w:shd w:fill="92d050" w:val="clear"/>
          </w:tcPr>
          <w:sdt>
            <w:sdtPr>
              <w:tag w:val="goog_rdk_66"/>
            </w:sdtPr>
            <w:sdtContent>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RESPONSABLE/</w:t>
                </w:r>
              </w:p>
            </w:sdtContent>
          </w:sdt>
          <w:sdt>
            <w:sdtPr>
              <w:tag w:val="goog_rdk_67"/>
            </w:sdtPr>
            <w:sdtContent>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DEPENDENCIA</w:t>
                </w:r>
              </w:p>
            </w:sdtContent>
          </w:sdt>
        </w:tc>
        <w:tc>
          <w:tcPr>
            <w:shd w:fill="92d050" w:val="clear"/>
          </w:tcPr>
          <w:sdt>
            <w:sdtPr>
              <w:tag w:val="goog_rdk_68"/>
            </w:sdtPr>
            <w:sdtContent>
              <w:p w:rsidR="00000000" w:rsidDel="00000000" w:rsidP="00000000" w:rsidRDefault="00000000" w:rsidRPr="00000000" w14:paraId="0000004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sdtContent>
          </w:sdt>
        </w:tc>
      </w:tr>
      <w:tr>
        <w:tc>
          <w:tcPr>
            <w:shd w:fill="auto" w:val="clear"/>
          </w:tcPr>
          <w:sdt>
            <w:sdtPr>
              <w:tag w:val="goog_rdk_69"/>
            </w:sdtPr>
            <w:sdtContent>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1.</w:t>
                </w:r>
              </w:p>
            </w:sdtContent>
          </w:sdt>
        </w:tc>
        <w:tc>
          <w:tcPr>
            <w:shd w:fill="auto" w:val="clear"/>
          </w:tcPr>
          <w:sdt>
            <w:sdtPr>
              <w:tag w:val="goog_rdk_70"/>
            </w:sdtPr>
            <w:sdtContent>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El estudiante inactivo realiza la solicitud por la plataforma SIGUM. </w:t>
                </w:r>
              </w:p>
            </w:sdtContent>
          </w:sdt>
        </w:tc>
      </w:tr>
      <w:tr>
        <w:tc>
          <w:tcPr>
            <w:shd w:fill="auto" w:val="clear"/>
          </w:tcPr>
          <w:sdt>
            <w:sdtPr>
              <w:tag w:val="goog_rdk_72"/>
            </w:sdtPr>
            <w:sdtContent>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2.</w:t>
                </w:r>
              </w:p>
            </w:sdtContent>
          </w:sdt>
        </w:tc>
        <w:tc>
          <w:tcPr>
            <w:shd w:fill="auto" w:val="clear"/>
          </w:tcPr>
          <w:sdt>
            <w:sdtPr>
              <w:tag w:val="goog_rdk_73"/>
            </w:sdtPr>
            <w:sdtContent>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74"/>
            </w:sdtPr>
            <w:sdtContent>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El director del programa verifica la solicitud del reingreso y la aprueba según los parámetros exigidos</w:t>
                </w:r>
              </w:p>
            </w:sdtContent>
          </w:sdt>
        </w:tc>
      </w:tr>
      <w:tr>
        <w:tc>
          <w:tcPr>
            <w:shd w:fill="auto" w:val="clear"/>
          </w:tcPr>
          <w:sdt>
            <w:sdtPr>
              <w:tag w:val="goog_rdk_75"/>
            </w:sdtPr>
            <w:sdtContent>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3.</w:t>
                </w:r>
              </w:p>
            </w:sdtContent>
          </w:sdt>
        </w:tc>
        <w:tc>
          <w:tcPr>
            <w:shd w:fill="auto" w:val="clear"/>
          </w:tcPr>
          <w:sdt>
            <w:sdtPr>
              <w:tag w:val="goog_rdk_76"/>
            </w:sdtPr>
            <w:sdtContent>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77"/>
            </w:sdtPr>
            <w:sdtContent>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Se habilita al estudiante los paz y salvos de División Financiera, Biblioteca, Deportes y Tesorería.</w:t>
                </w:r>
              </w:p>
            </w:sdtContent>
          </w:sdt>
        </w:tc>
      </w:tr>
      <w:tr>
        <w:tc>
          <w:tcPr>
            <w:shd w:fill="auto" w:val="clear"/>
          </w:tcPr>
          <w:sdt>
            <w:sdtPr>
              <w:tag w:val="goog_rdk_78"/>
            </w:sdtPr>
            <w:sdtContent>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4.</w:t>
                </w:r>
              </w:p>
            </w:sdtContent>
          </w:sdt>
        </w:tc>
        <w:tc>
          <w:tcPr>
            <w:shd w:fill="auto" w:val="clear"/>
          </w:tcPr>
          <w:sdt>
            <w:sdtPr>
              <w:tag w:val="goog_rdk_79"/>
            </w:sdtPr>
            <w:sdtContent>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0"/>
            </w:sdtPr>
            <w:sdtContent>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rtl w:val="0"/>
                  </w:rPr>
                  <w:t xml:space="preserve">Cuando el estudiante realiza el pago del reingreso, se habilita el paz y salvo de Admisiones, Registro y Control Académico.</w:t>
                </w:r>
                <w:r w:rsidDel="00000000" w:rsidR="00000000" w:rsidRPr="00000000">
                  <w:rPr>
                    <w:rtl w:val="0"/>
                  </w:rPr>
                </w:r>
              </w:p>
            </w:sdtContent>
          </w:sdt>
        </w:tc>
      </w:tr>
      <w:tr>
        <w:tc>
          <w:tcPr>
            <w:shd w:fill="auto" w:val="clear"/>
          </w:tcPr>
          <w:sdt>
            <w:sdtPr>
              <w:tag w:val="goog_rdk_81"/>
            </w:sdtPr>
            <w:sdtContent>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5.</w:t>
                </w:r>
              </w:p>
            </w:sdtContent>
          </w:sdt>
        </w:tc>
        <w:tc>
          <w:tcPr>
            <w:shd w:fill="auto" w:val="clear"/>
          </w:tcPr>
          <w:sdt>
            <w:sdtPr>
              <w:tag w:val="goog_rdk_82"/>
            </w:sdtPr>
            <w:sdtContent>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3"/>
            </w:sdtPr>
            <w:sdtContent>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El funcionario ARCA verifica la documentación ingresada en el momento de la inscripción la cual debe de estar al día. Si faltase algún documento no se podrá continuar con el proceso de reingreso.</w:t>
                </w:r>
              </w:p>
            </w:sdtContent>
          </w:sdt>
        </w:tc>
      </w:tr>
      <w:tr>
        <w:tc>
          <w:tcPr>
            <w:shd w:fill="auto" w:val="clear"/>
          </w:tcPr>
          <w:sdt>
            <w:sdtPr>
              <w:tag w:val="goog_rdk_84"/>
            </w:sdtPr>
            <w:sdtContent>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6.</w:t>
                </w:r>
              </w:p>
            </w:sdtContent>
          </w:sdt>
        </w:tc>
        <w:tc>
          <w:tcPr>
            <w:shd w:fill="auto" w:val="clear"/>
          </w:tcPr>
          <w:sdt>
            <w:sdtPr>
              <w:tag w:val="goog_rdk_85"/>
            </w:sdtPr>
            <w:sdtContent>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6"/>
            </w:sdtPr>
            <w:sdtContent>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Una vez verificada la documentación, se procede a realizar el ingreso del reingreso a la plataforma SIGUM.</w:t>
                </w:r>
              </w:p>
            </w:sdtContent>
          </w:sdt>
        </w:tc>
      </w:tr>
      <w:tr>
        <w:tc>
          <w:tcPr>
            <w:shd w:fill="auto" w:val="clear"/>
          </w:tcPr>
          <w:sdt>
            <w:sdtPr>
              <w:tag w:val="goog_rdk_87"/>
            </w:sdtPr>
            <w:sdtContent>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7.</w:t>
                </w:r>
              </w:p>
            </w:sdtContent>
          </w:sdt>
        </w:tc>
        <w:tc>
          <w:tcPr>
            <w:shd w:fill="auto" w:val="clear"/>
          </w:tcPr>
          <w:sdt>
            <w:sdtPr>
              <w:tag w:val="goog_rdk_88"/>
            </w:sdtPr>
            <w:sdtContent>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Secretaria ARCA</w:t>
                </w:r>
              </w:p>
            </w:sdtContent>
          </w:sdt>
        </w:tc>
        <w:tc>
          <w:tcPr>
            <w:shd w:fill="auto" w:val="clear"/>
          </w:tcPr>
          <w:sdt>
            <w:sdtPr>
              <w:tag w:val="goog_rdk_89"/>
            </w:sdtPr>
            <w:sdtContent>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Se realiza el desbloqueo pertinente para que el estudiante ingrese a su perfil de estudiante e inscriba las asignaturas y genere el recibo de liquidación. </w:t>
                </w:r>
              </w:p>
            </w:sdtContent>
          </w:sdt>
        </w:tc>
      </w:tr>
    </w:tbl>
    <w:sdt>
      <w:sdtPr>
        <w:tag w:val="goog_rdk_90"/>
      </w:sdtPr>
      <w:sdtContent>
        <w:p w:rsidR="00000000" w:rsidDel="00000000" w:rsidP="00000000" w:rsidRDefault="00000000" w:rsidRPr="00000000" w14:paraId="0000005B">
          <w:pPr>
            <w:rPr>
              <w:rFonts w:ascii="Arial" w:cs="Arial" w:eastAsia="Arial" w:hAnsi="Arial"/>
              <w:sz w:val="18"/>
              <w:szCs w:val="18"/>
            </w:rPr>
          </w:pPr>
          <w:r w:rsidDel="00000000" w:rsidR="00000000" w:rsidRPr="00000000">
            <w:rPr>
              <w:rtl w:val="0"/>
            </w:rPr>
          </w:r>
        </w:p>
      </w:sdtContent>
    </w:sdt>
    <w:sdt>
      <w:sdtPr>
        <w:tag w:val="goog_rdk_91"/>
      </w:sdtPr>
      <w:sdtContent>
        <w:p w:rsidR="00000000" w:rsidDel="00000000" w:rsidP="00000000" w:rsidRDefault="00000000" w:rsidRPr="00000000" w14:paraId="0000005C">
          <w:pPr>
            <w:jc w:val="left"/>
            <w:rPr>
              <w:rFonts w:ascii="Arial" w:cs="Arial" w:eastAsia="Arial" w:hAnsi="Arial"/>
              <w:sz w:val="18"/>
              <w:szCs w:val="18"/>
            </w:rPr>
          </w:pPr>
          <w:r w:rsidDel="00000000" w:rsidR="00000000" w:rsidRPr="00000000">
            <w:rPr>
              <w:rtl w:val="0"/>
            </w:rPr>
          </w:r>
        </w:p>
      </w:sdtContent>
    </w:sdt>
    <w:sdt>
      <w:sdtPr>
        <w:tag w:val="goog_rdk_92"/>
      </w:sdtPr>
      <w:sdtContent>
        <w:p w:rsidR="00000000" w:rsidDel="00000000" w:rsidP="00000000" w:rsidRDefault="00000000" w:rsidRPr="00000000" w14:paraId="0000005D">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DOCUMENTOS ASOCIADOS:</w:t>
          </w:r>
          <w:r w:rsidDel="00000000" w:rsidR="00000000" w:rsidRPr="00000000">
            <w:rPr>
              <w:rtl w:val="0"/>
            </w:rPr>
          </w:r>
        </w:p>
      </w:sdtContent>
    </w:sdt>
    <w:sdt>
      <w:sdtPr>
        <w:tag w:val="goog_rdk_93"/>
      </w:sdtPr>
      <w:sdtContent>
        <w:p w:rsidR="00000000" w:rsidDel="00000000" w:rsidP="00000000" w:rsidRDefault="00000000" w:rsidRPr="00000000" w14:paraId="0000005E">
          <w:pPr>
            <w:jc w:val="center"/>
            <w:rPr>
              <w:rFonts w:ascii="Arial" w:cs="Arial" w:eastAsia="Arial" w:hAnsi="Arial"/>
              <w:sz w:val="18"/>
              <w:szCs w:val="18"/>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sdt>
            <w:sdtPr>
              <w:tag w:val="goog_rdk_94"/>
            </w:sdtPr>
            <w:sdtContent>
              <w:p w:rsidR="00000000" w:rsidDel="00000000" w:rsidP="00000000" w:rsidRDefault="00000000" w:rsidRPr="00000000" w14:paraId="0000005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sdtContent>
          </w:sdt>
        </w:tc>
        <w:tc>
          <w:tcPr/>
          <w:sdt>
            <w:sdtPr>
              <w:tag w:val="goog_rdk_95"/>
            </w:sdtPr>
            <w:sdtContent>
              <w:p w:rsidR="00000000" w:rsidDel="00000000" w:rsidP="00000000" w:rsidRDefault="00000000" w:rsidRPr="00000000" w14:paraId="0000006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sdtContent>
          </w:sdt>
        </w:tc>
      </w:tr>
      <w:tr>
        <w:trPr>
          <w:trHeight w:val="280" w:hRule="atLeast"/>
        </w:trPr>
        <w:tc>
          <w:tcPr/>
          <w:sdt>
            <w:sdtPr>
              <w:tag w:val="goog_rdk_96"/>
            </w:sdtPr>
            <w:sdtContent>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Gestión de Recursos de Apoyo Académico.</w:t>
                </w:r>
              </w:p>
            </w:sdtContent>
          </w:sdt>
        </w:tc>
        <w:tc>
          <w:tcPr/>
          <w:sdt>
            <w:sdtPr>
              <w:tag w:val="goog_rdk_97"/>
            </w:sdtPr>
            <w:sdtContent>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GRA-CRT-001</w:t>
                </w:r>
              </w:p>
            </w:sdtContent>
          </w:sdt>
        </w:tc>
      </w:tr>
    </w:tbl>
    <w:sdt>
      <w:sdtPr>
        <w:tag w:val="goog_rdk_98"/>
      </w:sdtPr>
      <w:sdtContent>
        <w:p w:rsidR="00000000" w:rsidDel="00000000" w:rsidP="00000000" w:rsidRDefault="00000000" w:rsidRPr="00000000" w14:paraId="00000063">
          <w:pPr>
            <w:rPr>
              <w:rFonts w:ascii="Arial" w:cs="Arial" w:eastAsia="Arial" w:hAnsi="Arial"/>
              <w:b w:val="1"/>
              <w:sz w:val="18"/>
              <w:szCs w:val="18"/>
            </w:rPr>
          </w:pPr>
          <w:r w:rsidDel="00000000" w:rsidR="00000000" w:rsidRPr="00000000">
            <w:rPr>
              <w:rtl w:val="0"/>
            </w:rPr>
          </w:r>
        </w:p>
      </w:sdtContent>
    </w:sdt>
    <w:sdt>
      <w:sdtPr>
        <w:tag w:val="goog_rdk_99"/>
      </w:sdtPr>
      <w:sdtContent>
        <w:p w:rsidR="00000000" w:rsidDel="00000000" w:rsidP="00000000" w:rsidRDefault="00000000" w:rsidRPr="00000000" w14:paraId="0000006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sdtContent>
    </w:sdt>
    <w:sdt>
      <w:sdtPr>
        <w:tag w:val="goog_rdk_100"/>
      </w:sdtPr>
      <w:sdtContent>
        <w:p w:rsidR="00000000" w:rsidDel="00000000" w:rsidP="00000000" w:rsidRDefault="00000000" w:rsidRPr="00000000" w14:paraId="00000065">
          <w:pPr>
            <w:rPr>
              <w:rFonts w:ascii="Arial" w:cs="Arial" w:eastAsia="Arial" w:hAnsi="Arial"/>
              <w:b w:val="1"/>
              <w:sz w:val="18"/>
              <w:szCs w:val="18"/>
            </w:rPr>
          </w:pPr>
          <w:r w:rsidDel="00000000" w:rsidR="00000000" w:rsidRPr="00000000">
            <w:rPr>
              <w:rtl w:val="0"/>
            </w:rPr>
          </w:r>
        </w:p>
      </w:sdtContent>
    </w:sdt>
    <w:sdt>
      <w:sdtPr>
        <w:tag w:val="goog_rdk_101"/>
      </w:sdtPr>
      <w:sdtContent>
        <w:p w:rsidR="00000000" w:rsidDel="00000000" w:rsidP="00000000" w:rsidRDefault="00000000" w:rsidRPr="00000000" w14:paraId="00000066">
          <w:pPr>
            <w:jc w:val="center"/>
            <w:rPr>
              <w:rFonts w:ascii="Arial" w:cs="Arial" w:eastAsia="Arial" w:hAnsi="Arial"/>
              <w:sz w:val="18"/>
              <w:szCs w:val="18"/>
            </w:rPr>
          </w:pPr>
          <w:r w:rsidDel="00000000" w:rsidR="00000000" w:rsidRPr="00000000">
            <w:rPr>
              <w:rtl w:val="0"/>
            </w:rPr>
          </w:r>
        </w:p>
      </w:sdtContent>
    </w:sdt>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sdt>
            <w:sdtPr>
              <w:tag w:val="goog_rdk_102"/>
            </w:sdtPr>
            <w:sdtContent>
              <w:p w:rsidR="00000000" w:rsidDel="00000000" w:rsidP="00000000" w:rsidRDefault="00000000" w:rsidRPr="00000000" w14:paraId="0000006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sdtContent>
          </w:sdt>
        </w:tc>
        <w:tc>
          <w:tcPr/>
          <w:sdt>
            <w:sdtPr>
              <w:tag w:val="goog_rdk_103"/>
            </w:sdtPr>
            <w:sdtContent>
              <w:p w:rsidR="00000000" w:rsidDel="00000000" w:rsidP="00000000" w:rsidRDefault="00000000" w:rsidRPr="00000000" w14:paraId="0000006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sdtContent>
          </w:sdt>
        </w:tc>
      </w:tr>
      <w:tr>
        <w:trPr>
          <w:trHeight w:val="280" w:hRule="atLeast"/>
        </w:trPr>
        <w:tc>
          <w:tcPr/>
          <w:sdt>
            <w:sdtPr>
              <w:tag w:val="goog_rdk_104"/>
            </w:sdtPr>
            <w:sdtContent>
              <w:p w:rsidR="00000000" w:rsidDel="00000000" w:rsidP="00000000" w:rsidRDefault="00000000" w:rsidRPr="00000000" w14:paraId="00000069">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 Gestión de Recursos de Apoyo Académico.</w:t>
                </w:r>
              </w:p>
            </w:sdtContent>
          </w:sdt>
        </w:tc>
        <w:tc>
          <w:tcPr/>
          <w:sdt>
            <w:sdtPr>
              <w:tag w:val="goog_rdk_105"/>
            </w:sdtPr>
            <w:sdtContent>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GRA-FOR-001</w:t>
                </w:r>
              </w:p>
            </w:sdtContent>
          </w:sdt>
        </w:tc>
      </w:tr>
    </w:tbl>
    <w:sdt>
      <w:sdtPr>
        <w:tag w:val="goog_rdk_106"/>
      </w:sdtPr>
      <w:sdtContent>
        <w:p w:rsidR="00000000" w:rsidDel="00000000" w:rsidP="00000000" w:rsidRDefault="00000000" w:rsidRPr="00000000" w14:paraId="0000006B">
          <w:pPr>
            <w:rPr>
              <w:rFonts w:ascii="Arial" w:cs="Arial" w:eastAsia="Arial" w:hAnsi="Arial"/>
              <w:b w:val="1"/>
              <w:sz w:val="18"/>
              <w:szCs w:val="18"/>
            </w:rPr>
          </w:pPr>
          <w:r w:rsidDel="00000000" w:rsidR="00000000" w:rsidRPr="00000000">
            <w:rPr>
              <w:rtl w:val="0"/>
            </w:rPr>
          </w:r>
        </w:p>
      </w:sdtContent>
    </w:sdt>
    <w:sdt>
      <w:sdtPr>
        <w:tag w:val="goog_rdk_107"/>
      </w:sdtPr>
      <w:sdtContent>
        <w:p w:rsidR="00000000" w:rsidDel="00000000" w:rsidP="00000000" w:rsidRDefault="00000000" w:rsidRPr="00000000" w14:paraId="0000006C">
          <w:pPr>
            <w:rPr>
              <w:rFonts w:ascii="Arial" w:cs="Arial" w:eastAsia="Arial" w:hAnsi="Arial"/>
              <w:sz w:val="18"/>
              <w:szCs w:val="18"/>
            </w:rPr>
          </w:pPr>
          <w:r w:rsidDel="00000000" w:rsidR="00000000" w:rsidRPr="00000000">
            <w:rPr>
              <w:rtl w:val="0"/>
            </w:rPr>
          </w:r>
        </w:p>
      </w:sdtContent>
    </w:sdt>
    <w:sdt>
      <w:sdtPr>
        <w:tag w:val="goog_rdk_108"/>
      </w:sdtPr>
      <w:sdtContent>
        <w:p w:rsidR="00000000" w:rsidDel="00000000" w:rsidP="00000000" w:rsidRDefault="00000000" w:rsidRPr="00000000" w14:paraId="0000006D">
          <w:pPr>
            <w:rPr>
              <w:rFonts w:ascii="Arial" w:cs="Arial" w:eastAsia="Arial" w:hAnsi="Arial"/>
              <w:sz w:val="18"/>
              <w:szCs w:val="18"/>
            </w:rPr>
          </w:pPr>
          <w:r w:rsidDel="00000000" w:rsidR="00000000" w:rsidRPr="00000000">
            <w:rPr>
              <w:rtl w:val="0"/>
            </w:rPr>
          </w:r>
        </w:p>
      </w:sdtContent>
    </w:sdt>
    <w:sdt>
      <w:sdtPr>
        <w:tag w:val="goog_rdk_109"/>
      </w:sdtPr>
      <w:sdtContent>
        <w:p w:rsidR="00000000" w:rsidDel="00000000" w:rsidP="00000000" w:rsidRDefault="00000000" w:rsidRPr="00000000" w14:paraId="0000006E">
          <w:pPr>
            <w:rPr>
              <w:rFonts w:ascii="Arial" w:cs="Arial" w:eastAsia="Arial" w:hAnsi="Arial"/>
              <w:sz w:val="18"/>
              <w:szCs w:val="18"/>
            </w:rPr>
          </w:pPr>
          <w:r w:rsidDel="00000000" w:rsidR="00000000" w:rsidRPr="00000000">
            <w:rPr>
              <w:rtl w:val="0"/>
            </w:rPr>
          </w:r>
        </w:p>
      </w:sdtContent>
    </w:sdt>
    <w:sdt>
      <w:sdtPr>
        <w:tag w:val="goog_rdk_110"/>
      </w:sdtPr>
      <w:sdtContent>
        <w:p w:rsidR="00000000" w:rsidDel="00000000" w:rsidP="00000000" w:rsidRDefault="00000000" w:rsidRPr="00000000" w14:paraId="0000006F">
          <w:pPr>
            <w:rPr>
              <w:rFonts w:ascii="Arial" w:cs="Arial" w:eastAsia="Arial" w:hAnsi="Arial"/>
              <w:sz w:val="18"/>
              <w:szCs w:val="18"/>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35"/>
    </w:sdtPr>
    <w:sdtContent>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1"/>
    </w:sdtPr>
    <w:sdtContent>
      <w:p w:rsidR="00000000" w:rsidDel="00000000" w:rsidP="00000000" w:rsidRDefault="00000000" w:rsidRPr="00000000" w14:paraId="00000070">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575"/>
      <w:gridCol w:w="1155"/>
      <w:gridCol w:w="1740"/>
      <w:tblGridChange w:id="0">
        <w:tblGrid>
          <w:gridCol w:w="1605"/>
          <w:gridCol w:w="4560"/>
          <w:gridCol w:w="1575"/>
          <w:gridCol w:w="1155"/>
          <w:gridCol w:w="1740"/>
        </w:tblGrid>
      </w:tblGridChange>
    </w:tblGrid>
    <w:tr>
      <w:trPr>
        <w:trHeight w:val="360" w:hRule="atLeast"/>
      </w:trPr>
      <w:tc>
        <w:tcPr>
          <w:vMerge w:val="restart"/>
        </w:tcPr>
        <w:sdt>
          <w:sdtPr>
            <w:tag w:val="goog_rdk_112"/>
          </w:sdtPr>
          <w:sdtContent>
            <w:p w:rsidR="00000000" w:rsidDel="00000000" w:rsidP="00000000" w:rsidRDefault="00000000" w:rsidRPr="00000000" w14:paraId="00000071">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94622</wp:posOffset>
                    </wp:positionH>
                    <wp:positionV relativeFrom="paragraph">
                      <wp:posOffset>237490</wp:posOffset>
                    </wp:positionV>
                    <wp:extent cx="784860" cy="63944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13"/>
          </w:sdtPr>
          <w:sdtContent>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b w:val="1"/>
                  <w:rtl w:val="0"/>
                </w:rPr>
                <w:t xml:space="preserve">RECURSOS DE APOYO ACADÉMICO</w:t>
              </w:r>
              <w:r w:rsidDel="00000000" w:rsidR="00000000" w:rsidRPr="00000000">
                <w:rPr>
                  <w:rtl w:val="0"/>
                </w:rPr>
              </w:r>
            </w:p>
          </w:sdtContent>
        </w:sdt>
        <w:sdt>
          <w:sdtPr>
            <w:tag w:val="goog_rdk_114"/>
          </w:sdtPr>
          <w:sdtContent>
            <w:p w:rsidR="00000000" w:rsidDel="00000000" w:rsidP="00000000" w:rsidRDefault="00000000" w:rsidRPr="00000000" w14:paraId="00000073">
              <w:pPr>
                <w:tabs>
                  <w:tab w:val="center" w:pos="4252"/>
                  <w:tab w:val="right" w:pos="8504"/>
                </w:tabs>
                <w:jc w:val="center"/>
                <w:rPr>
                  <w:rFonts w:ascii="Arial" w:cs="Arial" w:eastAsia="Arial" w:hAnsi="Arial"/>
                </w:rPr>
              </w:pPr>
              <w:r w:rsidDel="00000000" w:rsidR="00000000" w:rsidRPr="00000000">
                <w:rPr>
                  <w:rtl w:val="0"/>
                </w:rPr>
              </w:r>
            </w:p>
          </w:sdtContent>
        </w:sdt>
        <w:sdt>
          <w:sdtPr>
            <w:tag w:val="goog_rdk_115"/>
          </w:sdtPr>
          <w:sdtContent>
            <w:p w:rsidR="00000000" w:rsidDel="00000000" w:rsidP="00000000" w:rsidRDefault="00000000" w:rsidRPr="00000000" w14:paraId="00000074">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EL REINGRESO DE ESTUDIANTES INACTIVOS</w:t>
              </w:r>
            </w:p>
          </w:sdtContent>
        </w:sdt>
      </w:tc>
      <w:tc>
        <w:tcPr>
          <w:vMerge w:val="restart"/>
        </w:tcPr>
        <w:sdt>
          <w:sdtPr>
            <w:tag w:val="goog_rdk_116"/>
          </w:sdtPr>
          <w:sdtContent>
            <w:p w:rsidR="00000000" w:rsidDel="00000000" w:rsidP="00000000" w:rsidRDefault="00000000" w:rsidRPr="00000000" w14:paraId="00000075">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17"/>
          </w:sdtPr>
          <w:sdtContent>
            <w:p w:rsidR="00000000" w:rsidDel="00000000" w:rsidP="00000000" w:rsidRDefault="00000000" w:rsidRPr="00000000" w14:paraId="00000076">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18"/>
          </w:sdtPr>
          <w:sdtContent>
            <w:p w:rsidR="00000000" w:rsidDel="00000000" w:rsidP="00000000" w:rsidRDefault="00000000" w:rsidRPr="00000000" w14:paraId="0000007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GRA-PRO-004</w:t>
              </w:r>
            </w:p>
          </w:sdtContent>
        </w:sdt>
      </w:tc>
    </w:tr>
    <w:tr>
      <w:trPr>
        <w:trHeight w:val="380" w:hRule="atLeast"/>
      </w:trPr>
      <w:tc>
        <w:tcPr>
          <w:vMerge w:val="continue"/>
        </w:tcPr>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tcPr>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Align w:val="center"/>
        </w:tcPr>
        <w:sdt>
          <w:sdtPr>
            <w:tag w:val="goog_rdk_122"/>
          </w:sdtPr>
          <w:sdtContent>
            <w:p w:rsidR="00000000" w:rsidDel="00000000" w:rsidP="00000000" w:rsidRDefault="00000000" w:rsidRPr="00000000" w14:paraId="0000007B">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23"/>
          </w:sdtPr>
          <w:sdtContent>
            <w:p w:rsidR="00000000" w:rsidDel="00000000" w:rsidP="00000000" w:rsidRDefault="00000000" w:rsidRPr="00000000" w14:paraId="0000007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tcPr>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27"/>
          </w:sdtPr>
          <w:sdtContent>
            <w:p w:rsidR="00000000" w:rsidDel="00000000" w:rsidP="00000000" w:rsidRDefault="00000000" w:rsidRPr="00000000" w14:paraId="00000080">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28"/>
          </w:sdtPr>
          <w:sdtContent>
            <w:p w:rsidR="00000000" w:rsidDel="00000000" w:rsidP="00000000" w:rsidRDefault="00000000" w:rsidRPr="00000000" w14:paraId="0000008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12/06/2019</w:t>
              </w:r>
            </w:p>
          </w:sdtContent>
        </w:sdt>
      </w:tc>
    </w:tr>
    <w:tr>
      <w:trPr>
        <w:trHeight w:val="300" w:hRule="atLeast"/>
      </w:trPr>
      <w:tc>
        <w:tcPr>
          <w:vMerge w:val="continue"/>
        </w:tcPr>
        <w:sdt>
          <w:sdtPr>
            <w:tag w:val="goog_rdk_129"/>
          </w:sdtPr>
          <w:sdtContent>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vMerge w:val="continue"/>
        </w:tcPr>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32"/>
          </w:sdtPr>
          <w:sdtContent>
            <w:p w:rsidR="00000000" w:rsidDel="00000000" w:rsidP="00000000" w:rsidRDefault="00000000" w:rsidRPr="00000000" w14:paraId="00000085">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33"/>
          </w:sdtPr>
          <w:sdtContent>
            <w:p w:rsidR="00000000" w:rsidDel="00000000" w:rsidP="00000000" w:rsidRDefault="00000000" w:rsidRPr="00000000" w14:paraId="00000086">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uepsecu1u15ajT/MRFVvjMdZKQ==">AMUW2mWeJDTSDlUAvhABC1d70ND2lE7zJkGjjRWQy+FT9YjzfNO0RyCkVMidr9jXy8U80AL3//ZHpmWlOqVF95fACNXHFqcWQkXMABD+Jtht7bk1SMO262Q=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