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A2" w:rsidRDefault="00E324A2">
      <w:bookmarkStart w:id="0" w:name="_GoBack"/>
      <w:bookmarkEnd w:id="0"/>
    </w:p>
    <w:p w:rsidR="00E324A2" w:rsidRDefault="00E324A2"/>
    <w:p w:rsidR="00E324A2" w:rsidRDefault="00E324A2"/>
    <w:p w:rsidR="00E324A2" w:rsidRDefault="00E324A2"/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p w:rsidR="00E324A2" w:rsidRDefault="00E324A2" w:rsidP="00E324A2">
      <w:pPr>
        <w:jc w:val="center"/>
        <w:rPr>
          <w:rFonts w:ascii="Arial" w:hAnsi="Arial" w:cs="Arial"/>
          <w:b/>
          <w:i/>
          <w:szCs w:val="18"/>
        </w:rPr>
      </w:pPr>
      <w:r>
        <w:rPr>
          <w:rFonts w:ascii="Arial" w:hAnsi="Arial" w:cs="Arial"/>
          <w:b/>
          <w:i/>
          <w:szCs w:val="18"/>
        </w:rPr>
        <w:t xml:space="preserve">INSTRUCTIVO </w:t>
      </w:r>
    </w:p>
    <w:p w:rsidR="00E324A2" w:rsidRPr="00F4425E" w:rsidRDefault="00E324A2" w:rsidP="00E324A2">
      <w:pPr>
        <w:jc w:val="center"/>
        <w:rPr>
          <w:rFonts w:ascii="Arial" w:hAnsi="Arial" w:cs="Arial"/>
          <w:b/>
          <w:i/>
          <w:szCs w:val="18"/>
        </w:rPr>
      </w:pPr>
      <w:r>
        <w:rPr>
          <w:rFonts w:ascii="Arial" w:hAnsi="Arial" w:cs="Arial"/>
          <w:b/>
          <w:i/>
          <w:szCs w:val="18"/>
        </w:rPr>
        <w:t>PARA EL REGISTRO Y EVALUACION DE PROVEEDORES</w:t>
      </w:r>
    </w:p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tbl>
      <w:tblPr>
        <w:tblW w:w="1063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1"/>
        <w:gridCol w:w="7884"/>
      </w:tblGrid>
      <w:tr w:rsidR="00E324A2" w:rsidRPr="00F4425E" w:rsidTr="00E324A2">
        <w:trPr>
          <w:trHeight w:val="591"/>
        </w:trPr>
        <w:tc>
          <w:tcPr>
            <w:tcW w:w="2751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4A2" w:rsidRPr="00F4425E" w:rsidTr="00E324A2">
        <w:trPr>
          <w:trHeight w:val="545"/>
        </w:trPr>
        <w:tc>
          <w:tcPr>
            <w:tcW w:w="2751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4A2" w:rsidRPr="00F4425E" w:rsidTr="00E324A2">
        <w:trPr>
          <w:trHeight w:val="412"/>
        </w:trPr>
        <w:tc>
          <w:tcPr>
            <w:tcW w:w="2751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4A2" w:rsidRPr="00F4425E" w:rsidTr="00E324A2">
        <w:trPr>
          <w:trHeight w:val="669"/>
        </w:trPr>
        <w:tc>
          <w:tcPr>
            <w:tcW w:w="2751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E324A2" w:rsidRPr="00F4425E" w:rsidRDefault="00E324A2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4A2" w:rsidRPr="00F4425E" w:rsidTr="00E324A2">
        <w:trPr>
          <w:trHeight w:val="414"/>
        </w:trPr>
        <w:tc>
          <w:tcPr>
            <w:tcW w:w="2751" w:type="dxa"/>
            <w:shd w:val="clear" w:color="auto" w:fill="auto"/>
          </w:tcPr>
          <w:p w:rsidR="00E324A2" w:rsidRPr="003851CA" w:rsidRDefault="00E324A2" w:rsidP="00E2757E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VERSION</w:t>
            </w:r>
          </w:p>
        </w:tc>
        <w:tc>
          <w:tcPr>
            <w:tcW w:w="7884" w:type="dxa"/>
            <w:shd w:val="clear" w:color="auto" w:fill="auto"/>
          </w:tcPr>
          <w:p w:rsidR="00E324A2" w:rsidRPr="003851CA" w:rsidRDefault="00E324A2" w:rsidP="00E2757E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MOTIVO DEL CAMBIO</w:t>
            </w:r>
          </w:p>
        </w:tc>
      </w:tr>
    </w:tbl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p w:rsidR="00E324A2" w:rsidRDefault="00E324A2" w:rsidP="00E324A2">
      <w:pPr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page" w:tblpX="926" w:tblpY="134"/>
        <w:tblW w:w="10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686"/>
        <w:gridCol w:w="776"/>
        <w:gridCol w:w="2850"/>
        <w:gridCol w:w="1206"/>
        <w:gridCol w:w="3072"/>
      </w:tblGrid>
      <w:tr w:rsidR="00E324A2" w:rsidRPr="00B93729" w:rsidTr="00E324A2">
        <w:trPr>
          <w:trHeight w:val="391"/>
        </w:trPr>
        <w:tc>
          <w:tcPr>
            <w:tcW w:w="2759" w:type="dxa"/>
            <w:gridSpan w:val="2"/>
            <w:tcBorders>
              <w:right w:val="nil"/>
            </w:tcBorders>
            <w:vAlign w:val="center"/>
          </w:tcPr>
          <w:p w:rsidR="00E324A2" w:rsidRPr="00B93729" w:rsidRDefault="00E324A2" w:rsidP="00E324A2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 de elaboración:01/10/2018</w:t>
            </w:r>
          </w:p>
        </w:tc>
        <w:tc>
          <w:tcPr>
            <w:tcW w:w="7904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E324A2" w:rsidRPr="00B93729" w:rsidRDefault="00E324A2" w:rsidP="00B46137">
            <w:pPr>
              <w:pStyle w:val="Encabezado"/>
              <w:rPr>
                <w:rFonts w:cs="Arial"/>
                <w:sz w:val="18"/>
                <w:szCs w:val="18"/>
              </w:rPr>
            </w:pPr>
            <w:r w:rsidRPr="00B93729">
              <w:rPr>
                <w:rFonts w:cs="Arial"/>
                <w:sz w:val="18"/>
                <w:szCs w:val="18"/>
              </w:rPr>
              <w:t>F</w:t>
            </w:r>
            <w:r>
              <w:rPr>
                <w:rFonts w:cs="Arial"/>
                <w:sz w:val="18"/>
                <w:szCs w:val="18"/>
              </w:rPr>
              <w:t>echa de últi</w:t>
            </w:r>
            <w:r w:rsidR="00B46137">
              <w:rPr>
                <w:rFonts w:cs="Arial"/>
                <w:sz w:val="18"/>
                <w:szCs w:val="18"/>
              </w:rPr>
              <w:t>ma actualización : 01/11/2018</w:t>
            </w:r>
            <w:r>
              <w:rPr>
                <w:rFonts w:cs="Arial"/>
                <w:sz w:val="18"/>
                <w:szCs w:val="18"/>
              </w:rPr>
              <w:t xml:space="preserve">           F</w:t>
            </w:r>
            <w:r w:rsidR="00B46137">
              <w:rPr>
                <w:rFonts w:cs="Arial"/>
                <w:sz w:val="18"/>
                <w:szCs w:val="18"/>
              </w:rPr>
              <w:t>echa de aprobación:   01/11/2018</w:t>
            </w:r>
          </w:p>
        </w:tc>
      </w:tr>
      <w:tr w:rsidR="00B46137" w:rsidRPr="00B93729" w:rsidTr="00B46137">
        <w:trPr>
          <w:trHeight w:val="478"/>
        </w:trPr>
        <w:tc>
          <w:tcPr>
            <w:tcW w:w="1073" w:type="dxa"/>
            <w:shd w:val="clear" w:color="auto" w:fill="D9D9D9"/>
            <w:vAlign w:val="center"/>
          </w:tcPr>
          <w:p w:rsidR="00B46137" w:rsidRPr="00B93729" w:rsidRDefault="00B46137" w:rsidP="00B46137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Elaboro: </w:t>
            </w:r>
          </w:p>
        </w:tc>
        <w:tc>
          <w:tcPr>
            <w:tcW w:w="1686" w:type="dxa"/>
            <w:vAlign w:val="center"/>
          </w:tcPr>
          <w:p w:rsidR="00B46137" w:rsidRPr="00B93729" w:rsidRDefault="00B46137" w:rsidP="00B46137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Diego Castro Perdomo</w:t>
            </w:r>
          </w:p>
        </w:tc>
        <w:tc>
          <w:tcPr>
            <w:tcW w:w="776" w:type="dxa"/>
            <w:shd w:val="clear" w:color="auto" w:fill="D9D9D9"/>
            <w:vAlign w:val="center"/>
          </w:tcPr>
          <w:p w:rsidR="00B46137" w:rsidRPr="00B93729" w:rsidRDefault="00B46137" w:rsidP="00B46137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>Reviso:</w:t>
            </w:r>
          </w:p>
        </w:tc>
        <w:tc>
          <w:tcPr>
            <w:tcW w:w="2850" w:type="dxa"/>
            <w:vAlign w:val="center"/>
          </w:tcPr>
          <w:p w:rsidR="00B46137" w:rsidRPr="00B93729" w:rsidRDefault="00B46137" w:rsidP="00B46137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color w:val="000000"/>
                <w:sz w:val="18"/>
                <w:szCs w:val="18"/>
              </w:rPr>
              <w:t>Yhon</w:t>
            </w:r>
            <w:proofErr w:type="spellEnd"/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Pineda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B46137" w:rsidRPr="00B93729" w:rsidRDefault="00B46137" w:rsidP="00B46137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Aprobó: </w:t>
            </w:r>
          </w:p>
        </w:tc>
        <w:tc>
          <w:tcPr>
            <w:tcW w:w="3072" w:type="dxa"/>
            <w:vAlign w:val="center"/>
          </w:tcPr>
          <w:p w:rsidR="00B46137" w:rsidRPr="00B93729" w:rsidRDefault="00B46137" w:rsidP="00B46137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Guillermo Arias Ostos</w:t>
            </w:r>
          </w:p>
        </w:tc>
      </w:tr>
      <w:tr w:rsidR="00B46137" w:rsidRPr="00B93729" w:rsidTr="00B46137">
        <w:trPr>
          <w:trHeight w:val="391"/>
        </w:trPr>
        <w:tc>
          <w:tcPr>
            <w:tcW w:w="1073" w:type="dxa"/>
            <w:shd w:val="clear" w:color="auto" w:fill="D9D9D9"/>
            <w:vAlign w:val="center"/>
          </w:tcPr>
          <w:p w:rsidR="00B46137" w:rsidRPr="00B93729" w:rsidRDefault="00B46137" w:rsidP="00B46137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</w:t>
            </w:r>
          </w:p>
        </w:tc>
        <w:tc>
          <w:tcPr>
            <w:tcW w:w="1686" w:type="dxa"/>
            <w:vAlign w:val="center"/>
          </w:tcPr>
          <w:p w:rsidR="00B46137" w:rsidRPr="00B93729" w:rsidRDefault="00B46137" w:rsidP="00B46137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Jefe de Compras</w:t>
            </w:r>
          </w:p>
        </w:tc>
        <w:tc>
          <w:tcPr>
            <w:tcW w:w="776" w:type="dxa"/>
            <w:shd w:val="clear" w:color="auto" w:fill="D9D9D9"/>
            <w:vAlign w:val="center"/>
          </w:tcPr>
          <w:p w:rsidR="00B46137" w:rsidRPr="00B93729" w:rsidRDefault="00B46137" w:rsidP="00B4613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</w:t>
            </w:r>
          </w:p>
        </w:tc>
        <w:tc>
          <w:tcPr>
            <w:tcW w:w="2850" w:type="dxa"/>
            <w:vAlign w:val="center"/>
          </w:tcPr>
          <w:p w:rsidR="00B46137" w:rsidRPr="00B93729" w:rsidRDefault="00B46137" w:rsidP="00B46137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Contador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B46137" w:rsidRPr="00B93729" w:rsidRDefault="00B46137" w:rsidP="00B46137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  </w:t>
            </w:r>
          </w:p>
        </w:tc>
        <w:tc>
          <w:tcPr>
            <w:tcW w:w="3072" w:type="dxa"/>
            <w:vAlign w:val="center"/>
          </w:tcPr>
          <w:p w:rsidR="00B46137" w:rsidRPr="00B93729" w:rsidRDefault="00B46137" w:rsidP="00B46137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Aseguramiento de la Calidad</w:t>
            </w:r>
          </w:p>
        </w:tc>
      </w:tr>
    </w:tbl>
    <w:p w:rsidR="00E324A2" w:rsidRDefault="00E324A2">
      <w:r>
        <w:br w:type="page"/>
      </w:r>
    </w:p>
    <w:p w:rsidR="00E324A2" w:rsidRDefault="00E324A2"/>
    <w:tbl>
      <w:tblPr>
        <w:tblW w:w="6065" w:type="pct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9"/>
        <w:gridCol w:w="7519"/>
      </w:tblGrid>
      <w:tr w:rsidR="000D2401" w:rsidRPr="0064500E" w:rsidTr="00E324A2">
        <w:trPr>
          <w:cantSplit/>
          <w:trHeight w:val="847"/>
          <w:tblHeader/>
        </w:trPr>
        <w:tc>
          <w:tcPr>
            <w:tcW w:w="1489" w:type="pct"/>
            <w:vMerge w:val="restart"/>
            <w:shd w:val="clear" w:color="auto" w:fill="F3F3F3"/>
            <w:vAlign w:val="center"/>
          </w:tcPr>
          <w:p w:rsidR="000D2401" w:rsidRPr="0064500E" w:rsidRDefault="000D2401" w:rsidP="00F40A9E">
            <w:pPr>
              <w:spacing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3511" w:type="pct"/>
            <w:vMerge w:val="restart"/>
            <w:vAlign w:val="center"/>
          </w:tcPr>
          <w:p w:rsidR="000D2401" w:rsidRDefault="000D2401" w:rsidP="00F40A9E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D2401" w:rsidRDefault="000D2401" w:rsidP="00F40A9E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D7335">
              <w:rPr>
                <w:rFonts w:ascii="Arial" w:hAnsi="Arial" w:cs="Arial"/>
                <w:sz w:val="18"/>
                <w:szCs w:val="18"/>
              </w:rPr>
              <w:t>Determinar los lineamientos y pasos para llevar a cabo</w:t>
            </w:r>
            <w:r>
              <w:rPr>
                <w:rFonts w:ascii="Arial" w:hAnsi="Arial" w:cs="Arial"/>
                <w:sz w:val="18"/>
                <w:szCs w:val="18"/>
              </w:rPr>
              <w:t xml:space="preserve"> la inscripción y evaluación de los proveedores que abastecen  a la Universidad de Bienes y Servicios.</w:t>
            </w:r>
            <w:r w:rsidRPr="001D733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D2401" w:rsidRDefault="000D2401" w:rsidP="00F40A9E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D2401" w:rsidRPr="001D7335" w:rsidRDefault="000D2401" w:rsidP="00F40A9E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401" w:rsidRPr="0064500E" w:rsidTr="00E324A2">
        <w:trPr>
          <w:cantSplit/>
          <w:trHeight w:val="407"/>
          <w:tblHeader/>
        </w:trPr>
        <w:tc>
          <w:tcPr>
            <w:tcW w:w="1489" w:type="pct"/>
            <w:vMerge/>
            <w:tcBorders>
              <w:bottom w:val="single" w:sz="4" w:space="0" w:color="auto"/>
            </w:tcBorders>
            <w:vAlign w:val="center"/>
          </w:tcPr>
          <w:p w:rsidR="000D2401" w:rsidRPr="0064500E" w:rsidRDefault="000D2401" w:rsidP="00F40A9E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11" w:type="pct"/>
            <w:vMerge/>
            <w:vAlign w:val="center"/>
          </w:tcPr>
          <w:p w:rsidR="000D2401" w:rsidRPr="0064500E" w:rsidRDefault="000D2401" w:rsidP="00F40A9E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D2401" w:rsidRPr="0064500E" w:rsidTr="00E324A2">
        <w:trPr>
          <w:trHeight w:val="533"/>
        </w:trPr>
        <w:tc>
          <w:tcPr>
            <w:tcW w:w="1489" w:type="pct"/>
            <w:shd w:val="clear" w:color="auto" w:fill="F3F3F3"/>
            <w:vAlign w:val="center"/>
          </w:tcPr>
          <w:p w:rsidR="000D2401" w:rsidRPr="00D35ACE" w:rsidRDefault="000D2401" w:rsidP="00F40A9E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35ACE">
              <w:rPr>
                <w:rFonts w:ascii="Arial" w:hAnsi="Arial" w:cs="Arial"/>
                <w:b/>
                <w:sz w:val="18"/>
                <w:szCs w:val="18"/>
              </w:rPr>
              <w:t>ALCANCE</w:t>
            </w:r>
          </w:p>
        </w:tc>
        <w:tc>
          <w:tcPr>
            <w:tcW w:w="3511" w:type="pct"/>
            <w:vAlign w:val="center"/>
          </w:tcPr>
          <w:p w:rsidR="000D2401" w:rsidRPr="0064500E" w:rsidRDefault="000D2401" w:rsidP="007A41B8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Este instructivo aplica al personal que labora en</w:t>
            </w:r>
            <w:r w:rsidR="007A41B8">
              <w:rPr>
                <w:rFonts w:ascii="Arial" w:hAnsi="Arial" w:cs="Arial"/>
                <w:sz w:val="18"/>
                <w:szCs w:val="18"/>
              </w:rPr>
              <w:t xml:space="preserve"> el</w:t>
            </w:r>
            <w:r>
              <w:rPr>
                <w:rFonts w:ascii="Arial" w:hAnsi="Arial" w:cs="Arial"/>
                <w:sz w:val="18"/>
                <w:szCs w:val="18"/>
              </w:rPr>
              <w:t xml:space="preserve">  proceso  de bienes y servicios, y </w:t>
            </w:r>
            <w:r w:rsidR="007A41B8">
              <w:rPr>
                <w:rFonts w:ascii="Arial" w:hAnsi="Arial" w:cs="Arial"/>
                <w:sz w:val="18"/>
                <w:szCs w:val="18"/>
              </w:rPr>
              <w:t>realiza la adquisición de bienes y servicios en la Universidad de Manizales y estableciendo una relación comercial con los proveedores.</w:t>
            </w:r>
          </w:p>
        </w:tc>
      </w:tr>
      <w:tr w:rsidR="000D2401" w:rsidRPr="0064500E" w:rsidTr="00E324A2">
        <w:trPr>
          <w:trHeight w:val="323"/>
        </w:trPr>
        <w:tc>
          <w:tcPr>
            <w:tcW w:w="1489" w:type="pct"/>
            <w:shd w:val="clear" w:color="auto" w:fill="F3F3F3"/>
            <w:vAlign w:val="center"/>
          </w:tcPr>
          <w:p w:rsidR="000D2401" w:rsidRPr="00D35ACE" w:rsidRDefault="000D2401" w:rsidP="00F40A9E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3511" w:type="pct"/>
            <w:vAlign w:val="center"/>
          </w:tcPr>
          <w:p w:rsidR="000D2401" w:rsidRPr="0064500E" w:rsidRDefault="007A41B8" w:rsidP="00F40A9E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Jefe de Compras </w:t>
            </w:r>
          </w:p>
        </w:tc>
      </w:tr>
    </w:tbl>
    <w:p w:rsidR="000D2401" w:rsidRDefault="000D2401" w:rsidP="007C1401">
      <w:pPr>
        <w:spacing w:before="10" w:line="14" w:lineRule="atLeast"/>
        <w:jc w:val="both"/>
        <w:rPr>
          <w:rFonts w:ascii="Arial" w:hAnsi="Arial" w:cs="Arial"/>
          <w:b/>
          <w:sz w:val="24"/>
          <w:szCs w:val="24"/>
        </w:rPr>
      </w:pPr>
    </w:p>
    <w:p w:rsidR="007C1401" w:rsidRDefault="007C1401" w:rsidP="00F771D1">
      <w:pPr>
        <w:spacing w:before="10" w:line="14" w:lineRule="atLeast"/>
        <w:jc w:val="both"/>
        <w:rPr>
          <w:rFonts w:ascii="Arial" w:hAnsi="Arial" w:cs="Arial"/>
          <w:b/>
          <w:sz w:val="24"/>
          <w:szCs w:val="24"/>
        </w:rPr>
      </w:pPr>
      <w:r w:rsidRPr="007A4090">
        <w:rPr>
          <w:rFonts w:ascii="Arial" w:hAnsi="Arial" w:cs="Arial"/>
          <w:b/>
          <w:sz w:val="24"/>
          <w:szCs w:val="24"/>
        </w:rPr>
        <w:t>PROVEEDORES</w:t>
      </w:r>
    </w:p>
    <w:p w:rsidR="00F771D1" w:rsidRPr="009D49D4" w:rsidRDefault="009D49D4" w:rsidP="00F771D1">
      <w:pPr>
        <w:spacing w:before="10" w:line="14" w:lineRule="atLeast"/>
        <w:jc w:val="both"/>
        <w:rPr>
          <w:rFonts w:ascii="Arial" w:hAnsi="Arial" w:cs="Arial"/>
          <w:sz w:val="24"/>
          <w:szCs w:val="24"/>
        </w:rPr>
      </w:pPr>
      <w:r w:rsidRPr="009D49D4">
        <w:rPr>
          <w:rFonts w:ascii="Arial" w:hAnsi="Arial" w:cs="Arial"/>
          <w:sz w:val="24"/>
          <w:szCs w:val="24"/>
        </w:rPr>
        <w:t xml:space="preserve">Son personas naturales o jurídicas </w:t>
      </w:r>
      <w:r>
        <w:rPr>
          <w:rFonts w:ascii="Arial" w:hAnsi="Arial" w:cs="Arial"/>
          <w:sz w:val="24"/>
          <w:szCs w:val="24"/>
        </w:rPr>
        <w:t>legalmente constituida que proveen un bien o servicio para el cumplimiento del objeto social de la Universidad.</w:t>
      </w:r>
    </w:p>
    <w:p w:rsidR="00F771D1" w:rsidRDefault="00F771D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</w:p>
    <w:p w:rsidR="007C1401" w:rsidRDefault="00F771D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SELECCIÓN </w:t>
      </w:r>
      <w:r w:rsidR="000D2185" w:rsidRPr="000D2185">
        <w:rPr>
          <w:rFonts w:ascii="Arial" w:hAnsi="Arial" w:cs="Arial"/>
          <w:b/>
          <w:iCs/>
          <w:sz w:val="24"/>
          <w:szCs w:val="24"/>
        </w:rPr>
        <w:t>DE PROVEEDORES</w:t>
      </w:r>
    </w:p>
    <w:p w:rsidR="00F771D1" w:rsidRDefault="00F771D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BC16E8" w:rsidRDefault="00F771D1" w:rsidP="00F771D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Los criterios establecidos para la selección y calificac</w:t>
      </w:r>
      <w:r w:rsidR="009D49D4">
        <w:rPr>
          <w:rFonts w:ascii="Arial" w:hAnsi="Arial" w:cs="Arial"/>
          <w:iCs/>
          <w:sz w:val="24"/>
          <w:szCs w:val="24"/>
        </w:rPr>
        <w:t>ión de los proveedores, están determinados</w:t>
      </w:r>
      <w:r>
        <w:rPr>
          <w:rFonts w:ascii="Arial" w:hAnsi="Arial" w:cs="Arial"/>
          <w:iCs/>
          <w:sz w:val="24"/>
          <w:szCs w:val="24"/>
        </w:rPr>
        <w:t xml:space="preserve"> de acuerdo a</w:t>
      </w:r>
      <w:r w:rsidR="009D49D4">
        <w:rPr>
          <w:rFonts w:ascii="Arial" w:hAnsi="Arial" w:cs="Arial"/>
          <w:iCs/>
          <w:sz w:val="24"/>
          <w:szCs w:val="24"/>
        </w:rPr>
        <w:t>l comportamiento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9D49D4">
        <w:rPr>
          <w:rFonts w:ascii="Arial" w:hAnsi="Arial" w:cs="Arial"/>
          <w:iCs/>
          <w:sz w:val="24"/>
          <w:szCs w:val="24"/>
        </w:rPr>
        <w:t xml:space="preserve">en la </w:t>
      </w:r>
      <w:r>
        <w:rPr>
          <w:rFonts w:ascii="Arial" w:hAnsi="Arial" w:cs="Arial"/>
          <w:iCs/>
          <w:sz w:val="24"/>
          <w:szCs w:val="24"/>
        </w:rPr>
        <w:t>relación comercial, con los proveedores l</w:t>
      </w:r>
      <w:r w:rsidR="00BC16E8">
        <w:rPr>
          <w:rFonts w:ascii="Arial" w:hAnsi="Arial" w:cs="Arial"/>
          <w:iCs/>
          <w:sz w:val="24"/>
          <w:szCs w:val="24"/>
        </w:rPr>
        <w:t>ocales, regionales y nacionales.</w:t>
      </w:r>
    </w:p>
    <w:p w:rsidR="00F771D1" w:rsidRDefault="00BC16E8" w:rsidP="00F771D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</w:p>
    <w:p w:rsidR="000D2185" w:rsidRDefault="00F771D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La calificación de los proveedores </w:t>
      </w:r>
      <w:r w:rsidR="00502715">
        <w:rPr>
          <w:rFonts w:ascii="Arial" w:hAnsi="Arial" w:cs="Arial"/>
          <w:iCs/>
          <w:sz w:val="24"/>
          <w:szCs w:val="24"/>
        </w:rPr>
        <w:t xml:space="preserve">aporta </w:t>
      </w:r>
      <w:r>
        <w:rPr>
          <w:rFonts w:ascii="Arial" w:hAnsi="Arial" w:cs="Arial"/>
          <w:iCs/>
          <w:sz w:val="24"/>
          <w:szCs w:val="24"/>
        </w:rPr>
        <w:t xml:space="preserve">un mayor conocimiento de los mismos, lo </w:t>
      </w:r>
      <w:r w:rsidR="00502715">
        <w:rPr>
          <w:rFonts w:ascii="Arial" w:hAnsi="Arial" w:cs="Arial"/>
          <w:iCs/>
          <w:sz w:val="24"/>
          <w:szCs w:val="24"/>
        </w:rPr>
        <w:t>que permite  efectuar una selección objetiva basada en el</w:t>
      </w:r>
      <w:r>
        <w:rPr>
          <w:rFonts w:ascii="Arial" w:hAnsi="Arial" w:cs="Arial"/>
          <w:iCs/>
          <w:sz w:val="24"/>
          <w:szCs w:val="24"/>
        </w:rPr>
        <w:t xml:space="preserve"> conoc</w:t>
      </w:r>
      <w:r w:rsidR="00502715">
        <w:rPr>
          <w:rFonts w:ascii="Arial" w:hAnsi="Arial" w:cs="Arial"/>
          <w:iCs/>
          <w:sz w:val="24"/>
          <w:szCs w:val="24"/>
        </w:rPr>
        <w:t xml:space="preserve">imiento 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502715">
        <w:rPr>
          <w:rFonts w:ascii="Arial" w:hAnsi="Arial" w:cs="Arial"/>
          <w:iCs/>
          <w:sz w:val="24"/>
          <w:szCs w:val="24"/>
        </w:rPr>
        <w:t xml:space="preserve"> de los proveedores </w:t>
      </w:r>
      <w:r>
        <w:rPr>
          <w:rFonts w:ascii="Arial" w:hAnsi="Arial" w:cs="Arial"/>
          <w:iCs/>
          <w:sz w:val="24"/>
          <w:szCs w:val="24"/>
        </w:rPr>
        <w:t xml:space="preserve">mitigando los errores que se </w:t>
      </w:r>
      <w:r w:rsidR="00502715">
        <w:rPr>
          <w:rFonts w:ascii="Arial" w:hAnsi="Arial" w:cs="Arial"/>
          <w:iCs/>
          <w:sz w:val="24"/>
          <w:szCs w:val="24"/>
        </w:rPr>
        <w:t>en el proceso de compras.</w:t>
      </w:r>
    </w:p>
    <w:p w:rsidR="00502715" w:rsidRPr="000D2185" w:rsidRDefault="00502715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n la búsqueda de mejores desempeños competitivos, una tendencia mundial es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la gestión de las cadenas de abastecimiento. Para este propósito, la selección de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proveedores constituye una decisión estratégica de alto impacto en el </w:t>
      </w: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desempe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-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ño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 de la organización. Debido a esto, el presente artículo hace una aproximación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al estado del arte en la selección de proveedores, tomando como referencia </w:t>
      </w: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im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-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portantes revistas internacionales especializadas en el tema. El objetivo de este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documento es ofrecer un aporte que sirva como punto de referencia en futuras in-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vestigaciones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 sobre el tema. En este sentido, propone un conjunto de temas que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sugieren un procedimiento general en la toma de decisiones: análisis del contexto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de las particularidades de la cadena de abastecimiento, selección de criterios de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43"/>
          <w:szCs w:val="43"/>
          <w:lang w:eastAsia="es-CO"/>
        </w:rPr>
      </w:pPr>
      <w:r w:rsidRPr="003A02DB">
        <w:rPr>
          <w:rFonts w:ascii="ff8" w:eastAsia="Times New Roman" w:hAnsi="ff8" w:cs="Times New Roman"/>
          <w:color w:val="000000"/>
          <w:sz w:val="43"/>
          <w:szCs w:val="43"/>
          <w:lang w:eastAsia="es-CO"/>
        </w:rPr>
        <w:t xml:space="preserve">decisión en la estrategia de operaciones e </w:t>
      </w:r>
      <w:proofErr w:type="spellStart"/>
      <w:r w:rsidRPr="003A02DB">
        <w:rPr>
          <w:rFonts w:ascii="ff8" w:eastAsia="Times New Roman" w:hAnsi="ff8" w:cs="Times New Roman"/>
          <w:color w:val="000000"/>
          <w:sz w:val="43"/>
          <w:szCs w:val="43"/>
          <w:lang w:eastAsia="es-CO"/>
        </w:rPr>
        <w:t>identicación</w:t>
      </w:r>
      <w:proofErr w:type="spellEnd"/>
      <w:r w:rsidRPr="003A02DB">
        <w:rPr>
          <w:rFonts w:ascii="ff8" w:eastAsia="Times New Roman" w:hAnsi="ff8" w:cs="Times New Roman"/>
          <w:color w:val="000000"/>
          <w:sz w:val="43"/>
          <w:szCs w:val="43"/>
          <w:lang w:eastAsia="es-CO"/>
        </w:rPr>
        <w:t xml:space="preserve"> del conjunto de métodos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usados como ayuda en la selección.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n la búsqueda de mejores desempeños competitivos, una tendencia mundial es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la gestión de las cadenas de abastecimiento. Para este propósito, la selección de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proveedores constituye una decisión estratégica de alto impacto en el </w:t>
      </w: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desempe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-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ño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 de la organización. Debido a esto, el presente artículo hace una aproximación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al estado del arte en la selección de proveedores, tomando como referencia </w:t>
      </w: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im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-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portantes revistas internacionales especializadas en el tema. El objetivo de este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documento es ofrecer un aporte que sirva como punto de referencia en futuras in-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vestigaciones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 sobre el tema. En este sentido, propone un conjunto de temas que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sugieren un procedimiento general en la toma de decisiones: análisis del contexto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de las particularidades de la cadena de abastecimiento, selección de criterios de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8" w:eastAsia="Times New Roman" w:hAnsi="ff8" w:cs="Times New Roman"/>
          <w:color w:val="000000"/>
          <w:sz w:val="43"/>
          <w:szCs w:val="43"/>
          <w:lang w:eastAsia="es-CO"/>
        </w:rPr>
      </w:pPr>
      <w:r w:rsidRPr="003A02DB">
        <w:rPr>
          <w:rFonts w:ascii="ff8" w:eastAsia="Times New Roman" w:hAnsi="ff8" w:cs="Times New Roman"/>
          <w:color w:val="000000"/>
          <w:sz w:val="43"/>
          <w:szCs w:val="43"/>
          <w:lang w:eastAsia="es-CO"/>
        </w:rPr>
        <w:t xml:space="preserve">decisión en la estrategia de operaciones e </w:t>
      </w:r>
      <w:proofErr w:type="spellStart"/>
      <w:r w:rsidRPr="003A02DB">
        <w:rPr>
          <w:rFonts w:ascii="ff8" w:eastAsia="Times New Roman" w:hAnsi="ff8" w:cs="Times New Roman"/>
          <w:color w:val="000000"/>
          <w:sz w:val="43"/>
          <w:szCs w:val="43"/>
          <w:lang w:eastAsia="es-CO"/>
        </w:rPr>
        <w:t>identicación</w:t>
      </w:r>
      <w:proofErr w:type="spellEnd"/>
      <w:r w:rsidRPr="003A02DB">
        <w:rPr>
          <w:rFonts w:ascii="ff8" w:eastAsia="Times New Roman" w:hAnsi="ff8" w:cs="Times New Roman"/>
          <w:color w:val="000000"/>
          <w:sz w:val="43"/>
          <w:szCs w:val="43"/>
          <w:lang w:eastAsia="es-CO"/>
        </w:rPr>
        <w:t xml:space="preserve"> del conjunto de métodos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usados como ayuda en la selección.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En la búsqueda de mejores desempeños competitivos, una tendencia mundial es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la gestión de las cadenas de abastecimiento. Para este propósito, la selección de 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proveedores constituye una decisión estratégica de alto impacto en el </w:t>
      </w: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desempe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-</w:t>
      </w:r>
    </w:p>
    <w:p w:rsidR="003A02DB" w:rsidRPr="003A02DB" w:rsidRDefault="003A02DB" w:rsidP="003A02D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z w:val="43"/>
          <w:szCs w:val="43"/>
          <w:lang w:eastAsia="es-CO"/>
        </w:rPr>
      </w:pPr>
      <w:proofErr w:type="spellStart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>ño</w:t>
      </w:r>
      <w:proofErr w:type="spellEnd"/>
      <w:r w:rsidRPr="003A02DB">
        <w:rPr>
          <w:rFonts w:ascii="ff7" w:eastAsia="Times New Roman" w:hAnsi="ff7" w:cs="Times New Roman"/>
          <w:color w:val="000000"/>
          <w:sz w:val="43"/>
          <w:szCs w:val="43"/>
          <w:lang w:eastAsia="es-CO"/>
        </w:rPr>
        <w:t xml:space="preserve"> de la organización</w:t>
      </w:r>
    </w:p>
    <w:p w:rsidR="000D2185" w:rsidRDefault="003A02DB" w:rsidP="007C140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91EE0">
        <w:rPr>
          <w:rFonts w:ascii="Arial" w:hAnsi="Arial" w:cs="Arial"/>
          <w:sz w:val="24"/>
          <w:szCs w:val="24"/>
        </w:rPr>
        <w:t xml:space="preserve">Con el objetivo </w:t>
      </w:r>
      <w:r w:rsidR="006F7103">
        <w:rPr>
          <w:rFonts w:ascii="Arial" w:hAnsi="Arial" w:cs="Arial"/>
          <w:sz w:val="24"/>
          <w:szCs w:val="24"/>
        </w:rPr>
        <w:t xml:space="preserve"> de realizar una evaluación objetiva de proveedores</w:t>
      </w:r>
      <w:r w:rsidR="000D2185" w:rsidRPr="00A91EE0">
        <w:rPr>
          <w:rFonts w:ascii="Arial" w:hAnsi="Arial" w:cs="Arial"/>
          <w:sz w:val="24"/>
          <w:szCs w:val="24"/>
        </w:rPr>
        <w:t xml:space="preserve">, se deben contemplar una serie de </w:t>
      </w:r>
      <w:r w:rsidR="006F7103">
        <w:rPr>
          <w:rFonts w:ascii="Arial" w:hAnsi="Arial" w:cs="Arial"/>
          <w:sz w:val="24"/>
          <w:szCs w:val="24"/>
        </w:rPr>
        <w:t xml:space="preserve">condiciones </w:t>
      </w:r>
      <w:r w:rsidR="000D2185" w:rsidRPr="00A91EE0">
        <w:rPr>
          <w:rFonts w:ascii="Arial" w:hAnsi="Arial" w:cs="Arial"/>
          <w:sz w:val="24"/>
          <w:szCs w:val="24"/>
        </w:rPr>
        <w:t xml:space="preserve">que </w:t>
      </w:r>
      <w:r w:rsidR="006F7103">
        <w:rPr>
          <w:rFonts w:ascii="Arial" w:hAnsi="Arial" w:cs="Arial"/>
          <w:sz w:val="24"/>
          <w:szCs w:val="24"/>
        </w:rPr>
        <w:t>se</w:t>
      </w:r>
      <w:r w:rsidR="008A08AA" w:rsidRPr="00A91EE0">
        <w:rPr>
          <w:rFonts w:ascii="Arial" w:hAnsi="Arial" w:cs="Arial"/>
          <w:sz w:val="24"/>
          <w:szCs w:val="24"/>
        </w:rPr>
        <w:t xml:space="preserve"> </w:t>
      </w:r>
      <w:r w:rsidR="006F7103">
        <w:rPr>
          <w:rFonts w:ascii="Arial" w:hAnsi="Arial" w:cs="Arial"/>
          <w:sz w:val="24"/>
          <w:szCs w:val="24"/>
        </w:rPr>
        <w:t>deben</w:t>
      </w:r>
      <w:r w:rsidR="000D2185" w:rsidRPr="00A91EE0">
        <w:rPr>
          <w:rFonts w:ascii="Arial" w:hAnsi="Arial" w:cs="Arial"/>
          <w:sz w:val="24"/>
          <w:szCs w:val="24"/>
        </w:rPr>
        <w:t xml:space="preserve"> cumplir</w:t>
      </w:r>
      <w:r w:rsidR="006F7103">
        <w:rPr>
          <w:rFonts w:ascii="Arial" w:hAnsi="Arial" w:cs="Arial"/>
          <w:sz w:val="24"/>
          <w:szCs w:val="24"/>
        </w:rPr>
        <w:t xml:space="preserve"> soportados en los criterios establecidos para tal fin.</w:t>
      </w:r>
    </w:p>
    <w:p w:rsidR="006F7103" w:rsidRPr="00A91EE0" w:rsidRDefault="006F7103" w:rsidP="007C140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324A2" w:rsidRDefault="000D2185" w:rsidP="007C140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91EE0">
        <w:rPr>
          <w:rFonts w:ascii="Arial" w:hAnsi="Arial" w:cs="Arial"/>
          <w:sz w:val="24"/>
          <w:szCs w:val="24"/>
        </w:rPr>
        <w:t xml:space="preserve">La primera </w:t>
      </w:r>
      <w:r w:rsidR="00372CFD" w:rsidRPr="00A91EE0">
        <w:rPr>
          <w:rFonts w:ascii="Arial" w:hAnsi="Arial" w:cs="Arial"/>
          <w:sz w:val="24"/>
          <w:szCs w:val="24"/>
        </w:rPr>
        <w:t>fase para que un proveedor sea registrado en la base de datos d</w:t>
      </w:r>
      <w:r w:rsidR="00E324A2">
        <w:rPr>
          <w:rFonts w:ascii="Arial" w:hAnsi="Arial" w:cs="Arial"/>
          <w:sz w:val="24"/>
          <w:szCs w:val="24"/>
        </w:rPr>
        <w:t xml:space="preserve">e la Universidad de Manizales debe </w:t>
      </w:r>
      <w:r w:rsidR="00372CFD" w:rsidRPr="00A91EE0">
        <w:rPr>
          <w:rFonts w:ascii="Arial" w:hAnsi="Arial" w:cs="Arial"/>
          <w:sz w:val="24"/>
          <w:szCs w:val="24"/>
        </w:rPr>
        <w:t>suministrar la</w:t>
      </w:r>
      <w:r w:rsidR="00E324A2">
        <w:rPr>
          <w:rFonts w:ascii="Arial" w:hAnsi="Arial" w:cs="Arial"/>
          <w:sz w:val="24"/>
          <w:szCs w:val="24"/>
        </w:rPr>
        <w:t xml:space="preserve"> siguiente </w:t>
      </w:r>
      <w:r w:rsidR="00372CFD" w:rsidRPr="00A91EE0">
        <w:rPr>
          <w:rFonts w:ascii="Arial" w:hAnsi="Arial" w:cs="Arial"/>
          <w:sz w:val="24"/>
          <w:szCs w:val="24"/>
        </w:rPr>
        <w:t>información</w:t>
      </w:r>
      <w:r w:rsidR="00E324A2">
        <w:rPr>
          <w:rFonts w:ascii="Arial" w:hAnsi="Arial" w:cs="Arial"/>
          <w:sz w:val="24"/>
          <w:szCs w:val="24"/>
        </w:rPr>
        <w:t>:</w:t>
      </w:r>
    </w:p>
    <w:p w:rsidR="00E324A2" w:rsidRDefault="00E324A2" w:rsidP="00E324A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Único Tributario RUT: Este documento debe vigente y no poseer enmendadura ni tachones, debe ser legible en todos sus componentes.</w:t>
      </w:r>
    </w:p>
    <w:p w:rsidR="00643C96" w:rsidRDefault="00643C96" w:rsidP="00E324A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Cámara de Comercio: Este certificado no debe ser inferior a tres meses, este documento será exigido solo para las personas jurídicas.</w:t>
      </w:r>
    </w:p>
    <w:p w:rsidR="00643C96" w:rsidRDefault="00643C96" w:rsidP="00E324A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manejo de alturas: Dicho certificado debe ser expedido por las entidades competentes y será solicitados para los proveedores que presten servicios de mantenimiento y por su actividad lo requieran.</w:t>
      </w:r>
    </w:p>
    <w:p w:rsidR="00E324A2" w:rsidRDefault="00643C96" w:rsidP="00E324A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Paz y  Salvo de seguridad social: Esta certificación no debe corresponder al periodo actual en que se hace la solicitud.</w:t>
      </w:r>
      <w:r w:rsidR="00E324A2">
        <w:rPr>
          <w:rFonts w:ascii="Arial" w:hAnsi="Arial" w:cs="Arial"/>
          <w:sz w:val="24"/>
          <w:szCs w:val="24"/>
        </w:rPr>
        <w:t xml:space="preserve"> </w:t>
      </w:r>
    </w:p>
    <w:p w:rsidR="00643C96" w:rsidRDefault="00643C96" w:rsidP="00E324A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Certificados de Calidad ISO, según sea el caso.</w:t>
      </w:r>
    </w:p>
    <w:p w:rsidR="00E324A2" w:rsidRDefault="00E324A2" w:rsidP="007C140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A08AA" w:rsidRDefault="00643C96" w:rsidP="007C140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F7103">
        <w:rPr>
          <w:rFonts w:ascii="Arial" w:hAnsi="Arial" w:cs="Arial"/>
          <w:sz w:val="24"/>
          <w:szCs w:val="24"/>
        </w:rPr>
        <w:t xml:space="preserve">l momento de ingresar el proveedor a la base de datos </w:t>
      </w:r>
      <w:r>
        <w:rPr>
          <w:rFonts w:ascii="Arial" w:hAnsi="Arial" w:cs="Arial"/>
          <w:sz w:val="24"/>
          <w:szCs w:val="24"/>
        </w:rPr>
        <w:t xml:space="preserve">dicha </w:t>
      </w:r>
      <w:r w:rsidR="000D21CE">
        <w:rPr>
          <w:rFonts w:ascii="Arial" w:hAnsi="Arial" w:cs="Arial"/>
          <w:sz w:val="24"/>
          <w:szCs w:val="24"/>
        </w:rPr>
        <w:t>información será</w:t>
      </w:r>
      <w:r w:rsidR="006F71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verificada su </w:t>
      </w:r>
      <w:r w:rsidR="00833952">
        <w:rPr>
          <w:rFonts w:ascii="Arial" w:hAnsi="Arial" w:cs="Arial"/>
          <w:sz w:val="24"/>
          <w:szCs w:val="24"/>
        </w:rPr>
        <w:t>legalidad y</w:t>
      </w:r>
      <w:r w:rsidR="006F7103">
        <w:rPr>
          <w:rFonts w:ascii="Arial" w:hAnsi="Arial" w:cs="Arial"/>
          <w:sz w:val="24"/>
          <w:szCs w:val="24"/>
        </w:rPr>
        <w:t xml:space="preserve"> </w:t>
      </w:r>
      <w:r w:rsidRPr="00A91EE0">
        <w:rPr>
          <w:rFonts w:ascii="Arial" w:hAnsi="Arial" w:cs="Arial"/>
          <w:sz w:val="24"/>
          <w:szCs w:val="24"/>
        </w:rPr>
        <w:t>clasificado</w:t>
      </w:r>
      <w:r w:rsidR="00127380" w:rsidRPr="00A91EE0">
        <w:rPr>
          <w:rFonts w:ascii="Arial" w:hAnsi="Arial" w:cs="Arial"/>
          <w:sz w:val="24"/>
          <w:szCs w:val="24"/>
        </w:rPr>
        <w:t xml:space="preserve"> de acuerdo a su actividad comercial</w:t>
      </w:r>
      <w:r w:rsidR="000D21CE">
        <w:rPr>
          <w:rFonts w:ascii="Arial" w:hAnsi="Arial" w:cs="Arial"/>
          <w:sz w:val="24"/>
          <w:szCs w:val="24"/>
        </w:rPr>
        <w:t>,</w:t>
      </w:r>
      <w:r w:rsidR="00386176" w:rsidRPr="00A91EE0">
        <w:rPr>
          <w:rFonts w:ascii="Arial" w:hAnsi="Arial" w:cs="Arial"/>
          <w:sz w:val="24"/>
          <w:szCs w:val="24"/>
        </w:rPr>
        <w:t xml:space="preserve"> en carpetas </w:t>
      </w:r>
      <w:r w:rsidR="00A91EE0" w:rsidRPr="00A91EE0">
        <w:rPr>
          <w:rFonts w:ascii="Arial" w:hAnsi="Arial" w:cs="Arial"/>
          <w:sz w:val="24"/>
          <w:szCs w:val="24"/>
        </w:rPr>
        <w:t>electrónicas</w:t>
      </w:r>
      <w:r w:rsidR="00127380" w:rsidRPr="00A91EE0">
        <w:rPr>
          <w:rFonts w:ascii="Arial" w:hAnsi="Arial" w:cs="Arial"/>
          <w:sz w:val="24"/>
          <w:szCs w:val="24"/>
        </w:rPr>
        <w:t>.</w:t>
      </w:r>
    </w:p>
    <w:p w:rsidR="00833952" w:rsidRDefault="00833952" w:rsidP="007C140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33952" w:rsidRPr="006F7103" w:rsidRDefault="00833952" w:rsidP="007C140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entenderán como proveedores críticos aquellos que satisfagan los requerimientos de bienes y servicios de los procesos de docencia, investigación y proyecci</w:t>
      </w:r>
      <w:r w:rsidR="004157D0">
        <w:rPr>
          <w:rFonts w:ascii="Arial" w:hAnsi="Arial" w:cs="Arial"/>
          <w:sz w:val="24"/>
          <w:szCs w:val="24"/>
        </w:rPr>
        <w:t>ón, estos proveedores serán sujetos de evaluación de acuerdo a los periodos establecidos.</w:t>
      </w:r>
    </w:p>
    <w:p w:rsidR="008A08AA" w:rsidRDefault="008A08AA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8A08AA" w:rsidRDefault="008A08AA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7C1401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VALORACION DE LOS PROVEEDORES</w:t>
      </w:r>
    </w:p>
    <w:p w:rsidR="007C1401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7C1401" w:rsidRDefault="000D21CE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Los</w:t>
      </w:r>
      <w:r w:rsidR="007C1401">
        <w:rPr>
          <w:rFonts w:ascii="Arial" w:hAnsi="Arial" w:cs="Arial"/>
          <w:iCs/>
          <w:sz w:val="24"/>
          <w:szCs w:val="24"/>
        </w:rPr>
        <w:t xml:space="preserve"> criterios establecidos para la calificación de proveedores son:</w:t>
      </w:r>
    </w:p>
    <w:p w:rsidR="007C1401" w:rsidRDefault="007C140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</w:p>
    <w:p w:rsidR="007C1401" w:rsidRDefault="007C140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TIEMPO DE ENTREGA: </w:t>
      </w:r>
      <w:r w:rsidRPr="007C1401">
        <w:rPr>
          <w:rFonts w:ascii="Arial" w:hAnsi="Arial" w:cs="Arial"/>
          <w:iCs/>
          <w:sz w:val="24"/>
          <w:szCs w:val="24"/>
        </w:rPr>
        <w:t>Tiene la disponibilidad y reconoce la necesidad de una pronta entrega, sin comprometer la calidad de todos los aspectos técnicos o tecnológicos que posean los productos para satisfacción de la Universidad de</w:t>
      </w:r>
      <w:r>
        <w:rPr>
          <w:rFonts w:ascii="Arial" w:hAnsi="Arial" w:cs="Arial"/>
          <w:iCs/>
          <w:sz w:val="24"/>
          <w:szCs w:val="24"/>
        </w:rPr>
        <w:t xml:space="preserve"> Manizales.</w:t>
      </w:r>
    </w:p>
    <w:p w:rsidR="007C1401" w:rsidRDefault="007C140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</w:p>
    <w:p w:rsidR="007C1401" w:rsidRDefault="007C1401" w:rsidP="007C1401">
      <w:pPr>
        <w:spacing w:before="10" w:line="14" w:lineRule="atLeast"/>
        <w:jc w:val="both"/>
        <w:rPr>
          <w:rFonts w:ascii="Arial" w:hAnsi="Arial" w:cs="Arial"/>
          <w:b/>
          <w:sz w:val="24"/>
          <w:szCs w:val="24"/>
        </w:rPr>
      </w:pPr>
      <w:r w:rsidRPr="00D169C5">
        <w:rPr>
          <w:rFonts w:ascii="Arial" w:hAnsi="Arial" w:cs="Arial"/>
          <w:b/>
          <w:sz w:val="24"/>
          <w:szCs w:val="24"/>
        </w:rPr>
        <w:t>CONDICIONES COMERCIALES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C1401">
        <w:rPr>
          <w:rFonts w:ascii="Arial" w:hAnsi="Arial" w:cs="Arial"/>
          <w:sz w:val="24"/>
          <w:szCs w:val="24"/>
        </w:rPr>
        <w:t xml:space="preserve">Es la capacidad comercial que los proveedores </w:t>
      </w:r>
      <w:r w:rsidR="0009030A" w:rsidRPr="007C1401">
        <w:rPr>
          <w:rFonts w:ascii="Arial" w:hAnsi="Arial" w:cs="Arial"/>
          <w:sz w:val="24"/>
          <w:szCs w:val="24"/>
        </w:rPr>
        <w:t>otorgan a</w:t>
      </w:r>
      <w:r w:rsidRPr="007C1401">
        <w:rPr>
          <w:rFonts w:ascii="Arial" w:hAnsi="Arial" w:cs="Arial"/>
          <w:sz w:val="24"/>
          <w:szCs w:val="24"/>
        </w:rPr>
        <w:t xml:space="preserve"> los bienes o suministros y forma parte integral de todas las cotizaciones, propuestas, ofertas y formas de pago, que pueda favorecer a la Universidad de Manizales, también proporciona aquellos datos y reglas para el buen uso o funcionamiento de todos los bienes o servicios que necesita la Universidad para obtener un beneficio esperado o duradero.</w:t>
      </w:r>
    </w:p>
    <w:p w:rsidR="007C1401" w:rsidRDefault="007C140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</w:p>
    <w:p w:rsidR="007C1401" w:rsidRPr="007C1401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  <w:r w:rsidRPr="007C1401">
        <w:rPr>
          <w:rFonts w:ascii="Arial" w:hAnsi="Arial" w:cs="Arial"/>
          <w:b/>
          <w:iCs/>
          <w:sz w:val="24"/>
          <w:szCs w:val="24"/>
        </w:rPr>
        <w:t>CALIDAD DEL PRODUCTO: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Pr="007C1401">
        <w:rPr>
          <w:rFonts w:ascii="Arial" w:hAnsi="Arial" w:cs="Arial"/>
          <w:iCs/>
          <w:sz w:val="24"/>
          <w:szCs w:val="24"/>
        </w:rPr>
        <w:t>Está sustentada exclusivamente en todos los aspectos técnicos y tecnológicos que posean para satisfacer la necesidad de un producto final a satisfacción.</w:t>
      </w:r>
    </w:p>
    <w:p w:rsidR="007C1401" w:rsidRDefault="007C140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</w:p>
    <w:p w:rsidR="007C1401" w:rsidRDefault="007C140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  <w:r w:rsidRPr="007C1401">
        <w:rPr>
          <w:rFonts w:ascii="Arial" w:hAnsi="Arial" w:cs="Arial"/>
          <w:b/>
          <w:iCs/>
          <w:sz w:val="24"/>
          <w:szCs w:val="24"/>
        </w:rPr>
        <w:t>VALOR AGREGADO: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C1401">
        <w:rPr>
          <w:rFonts w:ascii="Arial" w:hAnsi="Arial" w:cs="Arial"/>
          <w:iCs/>
          <w:sz w:val="24"/>
          <w:szCs w:val="24"/>
        </w:rPr>
        <w:t>Está determinado al servicio posventa del bien o servicio que el proveedor pueda otorgar a la Universidad de Manizales.</w:t>
      </w:r>
    </w:p>
    <w:p w:rsidR="007C1401" w:rsidRDefault="007C1401" w:rsidP="007C1401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</w:p>
    <w:p w:rsidR="007C1401" w:rsidRDefault="007C1401" w:rsidP="007C1401">
      <w:pPr>
        <w:spacing w:before="10" w:line="14" w:lineRule="atLeast"/>
        <w:jc w:val="both"/>
        <w:rPr>
          <w:rFonts w:ascii="Arial" w:hAnsi="Arial" w:cs="Arial"/>
          <w:b/>
          <w:iCs/>
          <w:sz w:val="24"/>
          <w:szCs w:val="24"/>
        </w:rPr>
      </w:pPr>
      <w:r w:rsidRPr="000151D8">
        <w:rPr>
          <w:rFonts w:ascii="Arial" w:hAnsi="Arial" w:cs="Arial"/>
          <w:b/>
          <w:sz w:val="24"/>
          <w:szCs w:val="24"/>
        </w:rPr>
        <w:t>REPUTACION EN EL MERCADO / SST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7C1401">
        <w:rPr>
          <w:rFonts w:ascii="Arial" w:hAnsi="Arial" w:cs="Arial"/>
          <w:sz w:val="24"/>
          <w:szCs w:val="24"/>
        </w:rPr>
        <w:t>Durante la entrega del insumo o desarrollo del servicio contó con el personal calificado para dar a cumplimiento a satisfacción para lo que fue contratado, de acuerdo a la normatividad que las ARL determinan.</w:t>
      </w:r>
    </w:p>
    <w:p w:rsidR="00255189" w:rsidRDefault="00255189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7C1401" w:rsidRPr="00390C41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Cuadro Formato de Calificación Proveedores </w:t>
      </w:r>
    </w:p>
    <w:p w:rsidR="007C1401" w:rsidRDefault="007C1401" w:rsidP="007C1401">
      <w:pPr>
        <w:spacing w:before="10" w:line="14" w:lineRule="atLeast"/>
        <w:jc w:val="both"/>
        <w:rPr>
          <w:rFonts w:ascii="Arial" w:hAnsi="Arial" w:cs="Arial"/>
          <w:iCs/>
          <w:sz w:val="24"/>
          <w:szCs w:val="24"/>
        </w:rPr>
      </w:pPr>
    </w:p>
    <w:p w:rsidR="007C1401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7C1401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0D21CE" w:rsidRDefault="000D21CE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0D21CE" w:rsidRDefault="000D21CE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F90C04" w:rsidRDefault="00F90C04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F90C04" w:rsidRDefault="00F90C04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  <w:r w:rsidRPr="00F90C04">
        <w:rPr>
          <w:noProof/>
          <w:lang w:eastAsia="es-CO"/>
        </w:rPr>
        <w:drawing>
          <wp:inline distT="0" distB="0" distL="0" distR="0">
            <wp:extent cx="5612130" cy="2296505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04" w:rsidRDefault="00F90C04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F90C04" w:rsidRDefault="00F90C04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F90C04" w:rsidRDefault="00F90C04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0D21CE" w:rsidRDefault="000D21CE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7C1401" w:rsidRDefault="003E52D3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ESCALA DE</w:t>
      </w:r>
      <w:r w:rsidR="007C1401">
        <w:rPr>
          <w:rFonts w:ascii="Arial" w:hAnsi="Arial" w:cs="Arial"/>
          <w:b/>
          <w:iCs/>
          <w:sz w:val="24"/>
          <w:szCs w:val="24"/>
        </w:rPr>
        <w:t xml:space="preserve"> VALORACION</w:t>
      </w:r>
    </w:p>
    <w:p w:rsidR="007C1401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</w:p>
    <w:p w:rsidR="007A41B8" w:rsidRPr="007A41B8" w:rsidRDefault="007C1401" w:rsidP="007A41B8">
      <w:pPr>
        <w:pStyle w:val="Sinespaciado"/>
        <w:jc w:val="both"/>
        <w:rPr>
          <w:rFonts w:ascii="Arial" w:hAnsi="Arial" w:cs="Arial"/>
          <w:iCs/>
          <w:sz w:val="24"/>
          <w:szCs w:val="24"/>
        </w:rPr>
      </w:pPr>
      <w:r w:rsidRPr="00C14516">
        <w:rPr>
          <w:rFonts w:ascii="Arial" w:hAnsi="Arial" w:cs="Arial"/>
          <w:iCs/>
          <w:sz w:val="24"/>
          <w:szCs w:val="24"/>
        </w:rPr>
        <w:t xml:space="preserve">Según lo establecido en la valoración de los proveedores la escala exige una evaluación cualitativa que determina aquellos aspectos de una actividad o relaciones comerciales producto de una negociación formal entre la Universidad </w:t>
      </w:r>
      <w:r>
        <w:rPr>
          <w:rFonts w:ascii="Arial" w:hAnsi="Arial" w:cs="Arial"/>
          <w:iCs/>
          <w:sz w:val="24"/>
          <w:szCs w:val="24"/>
        </w:rPr>
        <w:t>d</w:t>
      </w:r>
      <w:r w:rsidRPr="00C14516">
        <w:rPr>
          <w:rFonts w:ascii="Arial" w:hAnsi="Arial" w:cs="Arial"/>
          <w:iCs/>
          <w:sz w:val="24"/>
          <w:szCs w:val="24"/>
        </w:rPr>
        <w:t>e Manizales y los proveedores, cada categoría expresa la calidad que se observó durante la solicitud de un bien o servicio.</w:t>
      </w:r>
    </w:p>
    <w:p w:rsidR="00121EAF" w:rsidRDefault="00121EAF" w:rsidP="007C1401">
      <w:pPr>
        <w:spacing w:before="10" w:line="14" w:lineRule="atLeast"/>
        <w:jc w:val="both"/>
        <w:rPr>
          <w:rFonts w:ascii="Arial" w:hAnsi="Arial" w:cs="Arial"/>
          <w:sz w:val="24"/>
          <w:szCs w:val="24"/>
        </w:rPr>
      </w:pPr>
    </w:p>
    <w:p w:rsidR="007C1401" w:rsidRPr="00B07E96" w:rsidRDefault="007C1401" w:rsidP="007C1401">
      <w:pPr>
        <w:pStyle w:val="Sinespaciad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Tabla de Valoración de Proveedores</w:t>
      </w:r>
    </w:p>
    <w:p w:rsidR="007C1401" w:rsidRPr="00F12939" w:rsidRDefault="002E050E" w:rsidP="007C1401">
      <w:pPr>
        <w:spacing w:before="10" w:line="14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3400" cy="3554095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1CE" w:rsidRDefault="000D21CE" w:rsidP="00691FC5">
      <w:pPr>
        <w:jc w:val="both"/>
        <w:rPr>
          <w:b/>
        </w:rPr>
      </w:pPr>
    </w:p>
    <w:p w:rsidR="00BC16E8" w:rsidRPr="00691FC5" w:rsidRDefault="00BC16E8" w:rsidP="00691FC5">
      <w:pPr>
        <w:jc w:val="both"/>
        <w:rPr>
          <w:b/>
        </w:rPr>
      </w:pPr>
      <w:r w:rsidRPr="000D21CE">
        <w:rPr>
          <w:b/>
          <w:sz w:val="24"/>
        </w:rPr>
        <w:t>SEGUIMIENTO</w:t>
      </w:r>
      <w:r w:rsidRPr="00691FC5">
        <w:rPr>
          <w:b/>
        </w:rPr>
        <w:t>:</w:t>
      </w:r>
    </w:p>
    <w:p w:rsidR="00031BFC" w:rsidRDefault="00BC16E8" w:rsidP="00691FC5">
      <w:pPr>
        <w:jc w:val="both"/>
        <w:rPr>
          <w:rFonts w:ascii="Arial" w:hAnsi="Arial" w:cs="Arial"/>
          <w:iCs/>
          <w:sz w:val="24"/>
          <w:szCs w:val="24"/>
        </w:rPr>
      </w:pPr>
      <w:r w:rsidRPr="00A93889">
        <w:rPr>
          <w:rFonts w:ascii="Arial" w:hAnsi="Arial" w:cs="Arial"/>
          <w:iCs/>
          <w:sz w:val="24"/>
          <w:szCs w:val="24"/>
        </w:rPr>
        <w:t>Se realizará una evaluación periódica de manera semestral, en la que se determina la calificación</w:t>
      </w:r>
      <w:r w:rsidR="00691FC5" w:rsidRPr="00A93889">
        <w:rPr>
          <w:rFonts w:ascii="Arial" w:hAnsi="Arial" w:cs="Arial"/>
          <w:iCs/>
          <w:sz w:val="24"/>
          <w:szCs w:val="24"/>
        </w:rPr>
        <w:t xml:space="preserve"> de cada uno de los proveedores</w:t>
      </w:r>
      <w:r w:rsidR="00A93889">
        <w:rPr>
          <w:rFonts w:ascii="Arial" w:hAnsi="Arial" w:cs="Arial"/>
          <w:iCs/>
          <w:sz w:val="24"/>
          <w:szCs w:val="24"/>
        </w:rPr>
        <w:t xml:space="preserve"> según los criterios establecidos</w:t>
      </w:r>
      <w:r w:rsidR="00691FC5" w:rsidRPr="00A93889">
        <w:rPr>
          <w:rFonts w:ascii="Arial" w:hAnsi="Arial" w:cs="Arial"/>
          <w:iCs/>
          <w:sz w:val="24"/>
          <w:szCs w:val="24"/>
        </w:rPr>
        <w:t xml:space="preserve">, en caso de que sea mal calificado </w:t>
      </w:r>
      <w:r w:rsidR="00A93889">
        <w:rPr>
          <w:rFonts w:ascii="Arial" w:hAnsi="Arial" w:cs="Arial"/>
          <w:iCs/>
          <w:sz w:val="24"/>
          <w:szCs w:val="24"/>
        </w:rPr>
        <w:t xml:space="preserve">un proveedor en la </w:t>
      </w:r>
      <w:r w:rsidR="00691FC5" w:rsidRPr="00A93889">
        <w:rPr>
          <w:rFonts w:ascii="Arial" w:hAnsi="Arial" w:cs="Arial"/>
          <w:iCs/>
          <w:sz w:val="24"/>
          <w:szCs w:val="24"/>
        </w:rPr>
        <w:t xml:space="preserve"> evaluación</w:t>
      </w:r>
      <w:r w:rsidR="00A93889">
        <w:rPr>
          <w:rFonts w:ascii="Arial" w:hAnsi="Arial" w:cs="Arial"/>
          <w:iCs/>
          <w:sz w:val="24"/>
          <w:szCs w:val="24"/>
        </w:rPr>
        <w:t xml:space="preserve"> semestral</w:t>
      </w:r>
      <w:r w:rsidR="000D21CE">
        <w:rPr>
          <w:rFonts w:ascii="Arial" w:hAnsi="Arial" w:cs="Arial"/>
          <w:iCs/>
          <w:sz w:val="24"/>
          <w:szCs w:val="24"/>
        </w:rPr>
        <w:t>,</w:t>
      </w:r>
      <w:r w:rsidR="00691FC5" w:rsidRPr="00A93889">
        <w:rPr>
          <w:rFonts w:ascii="Arial" w:hAnsi="Arial" w:cs="Arial"/>
          <w:iCs/>
          <w:sz w:val="24"/>
          <w:szCs w:val="24"/>
        </w:rPr>
        <w:t xml:space="preserve"> se le notificará al proveedor </w:t>
      </w:r>
      <w:r w:rsidR="00BF371D">
        <w:rPr>
          <w:rFonts w:ascii="Arial" w:hAnsi="Arial" w:cs="Arial"/>
          <w:iCs/>
          <w:sz w:val="24"/>
          <w:szCs w:val="24"/>
        </w:rPr>
        <w:t xml:space="preserve">crítico </w:t>
      </w:r>
      <w:r w:rsidR="00A93889">
        <w:rPr>
          <w:rFonts w:ascii="Arial" w:hAnsi="Arial" w:cs="Arial"/>
          <w:iCs/>
          <w:sz w:val="24"/>
          <w:szCs w:val="24"/>
        </w:rPr>
        <w:t xml:space="preserve">mal calificado </w:t>
      </w:r>
      <w:r w:rsidR="00691FC5" w:rsidRPr="00A93889">
        <w:rPr>
          <w:rFonts w:ascii="Arial" w:hAnsi="Arial" w:cs="Arial"/>
          <w:iCs/>
          <w:sz w:val="24"/>
          <w:szCs w:val="24"/>
        </w:rPr>
        <w:t>y se le solicitará un plan de mejora para subsanar la</w:t>
      </w:r>
      <w:r w:rsidR="00031BFC">
        <w:rPr>
          <w:rFonts w:ascii="Arial" w:hAnsi="Arial" w:cs="Arial"/>
          <w:iCs/>
          <w:sz w:val="24"/>
          <w:szCs w:val="24"/>
        </w:rPr>
        <w:t xml:space="preserve"> mala calificación presentada.</w:t>
      </w:r>
    </w:p>
    <w:p w:rsidR="00031BFC" w:rsidRPr="00A93889" w:rsidRDefault="00031BFC" w:rsidP="00691FC5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jefe de compras en la próxima evaluación a proveedores prestará especial atención al </w:t>
      </w:r>
      <w:r w:rsidR="000D21CE">
        <w:rPr>
          <w:rFonts w:ascii="Arial" w:hAnsi="Arial" w:cs="Arial"/>
          <w:iCs/>
          <w:sz w:val="24"/>
          <w:szCs w:val="24"/>
        </w:rPr>
        <w:t>comportamiento y cumplimiento del</w:t>
      </w:r>
      <w:r>
        <w:rPr>
          <w:rFonts w:ascii="Arial" w:hAnsi="Arial" w:cs="Arial"/>
          <w:iCs/>
          <w:sz w:val="24"/>
          <w:szCs w:val="24"/>
        </w:rPr>
        <w:t xml:space="preserve"> plan de mejora pres</w:t>
      </w:r>
      <w:r w:rsidR="000D21CE">
        <w:rPr>
          <w:rFonts w:ascii="Arial" w:hAnsi="Arial" w:cs="Arial"/>
          <w:iCs/>
          <w:sz w:val="24"/>
          <w:szCs w:val="24"/>
        </w:rPr>
        <w:t>entado por parte del proveedor, para determinar así la viabilidad de continuar la relación comercial dicha decisión debe ser notificada al proveedor.</w:t>
      </w:r>
    </w:p>
    <w:p w:rsidR="00691FC5" w:rsidRDefault="00691FC5" w:rsidP="00691FC5">
      <w:pPr>
        <w:jc w:val="both"/>
      </w:pPr>
    </w:p>
    <w:p w:rsidR="009969AC" w:rsidRDefault="009969AC" w:rsidP="00691FC5">
      <w:pPr>
        <w:jc w:val="both"/>
      </w:pPr>
    </w:p>
    <w:p w:rsidR="009969AC" w:rsidRDefault="009969AC" w:rsidP="00691FC5">
      <w:pPr>
        <w:jc w:val="both"/>
      </w:pPr>
    </w:p>
    <w:p w:rsidR="009969AC" w:rsidRDefault="009969AC" w:rsidP="00691FC5">
      <w:pPr>
        <w:jc w:val="both"/>
        <w:rPr>
          <w:b/>
        </w:rPr>
      </w:pPr>
      <w:r>
        <w:rPr>
          <w:b/>
        </w:rPr>
        <w:lastRenderedPageBreak/>
        <w:t>DOCUMENTOS ASOCIADOS:</w:t>
      </w:r>
    </w:p>
    <w:p w:rsidR="009969AC" w:rsidRDefault="009969AC" w:rsidP="00691FC5">
      <w:pPr>
        <w:jc w:val="both"/>
        <w:rPr>
          <w:b/>
        </w:rPr>
      </w:pPr>
    </w:p>
    <w:tbl>
      <w:tblPr>
        <w:tblW w:w="10814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5"/>
        <w:gridCol w:w="2502"/>
        <w:gridCol w:w="1597"/>
      </w:tblGrid>
      <w:tr w:rsidR="009969AC" w:rsidRPr="009969AC" w:rsidTr="009969AC">
        <w:trPr>
          <w:trHeight w:val="44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9969AC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DOCUMENTO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9969AC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9969AC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CODIGO</w:t>
            </w:r>
          </w:p>
        </w:tc>
      </w:tr>
      <w:tr w:rsidR="009969AC" w:rsidRPr="009969AC" w:rsidTr="009969AC">
        <w:trPr>
          <w:trHeight w:val="22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69AC" w:rsidRPr="009969AC" w:rsidRDefault="00635F1F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Formato Evaluación de Proveedores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69AC" w:rsidRPr="009969AC" w:rsidRDefault="00635F1F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BIENES Y SERVICIOS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969AC" w:rsidRPr="009969AC" w:rsidRDefault="00635F1F" w:rsidP="009969AC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lang w:eastAsia="es-CO"/>
              </w:rPr>
              <w:t>GFI-FOR-025</w:t>
            </w:r>
          </w:p>
        </w:tc>
      </w:tr>
      <w:tr w:rsidR="009969AC" w:rsidRPr="009969AC" w:rsidTr="009969AC">
        <w:trPr>
          <w:trHeight w:val="288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969AC" w:rsidRPr="009969AC" w:rsidTr="009969AC">
        <w:trPr>
          <w:trHeight w:val="22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969AC" w:rsidRPr="009969AC" w:rsidTr="009969AC">
        <w:trPr>
          <w:trHeight w:val="22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969AC" w:rsidRPr="009969AC" w:rsidTr="009969AC">
        <w:trPr>
          <w:trHeight w:val="22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969AC" w:rsidRPr="009969AC" w:rsidTr="009969AC">
        <w:trPr>
          <w:trHeight w:val="22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969AC" w:rsidRPr="009969AC" w:rsidTr="009969AC">
        <w:trPr>
          <w:trHeight w:val="22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969AC" w:rsidRPr="009969AC" w:rsidTr="009969AC">
        <w:trPr>
          <w:trHeight w:val="220"/>
        </w:trPr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9AC" w:rsidRPr="009969AC" w:rsidRDefault="009969AC" w:rsidP="00996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9969AC" w:rsidRPr="009969AC" w:rsidRDefault="009969AC" w:rsidP="00691FC5">
      <w:pPr>
        <w:jc w:val="both"/>
        <w:rPr>
          <w:b/>
        </w:rPr>
      </w:pPr>
    </w:p>
    <w:sectPr w:rsidR="009969AC" w:rsidRPr="009969A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A66" w:rsidRDefault="00D84A66" w:rsidP="000D2401">
      <w:pPr>
        <w:spacing w:after="0" w:line="240" w:lineRule="auto"/>
      </w:pPr>
      <w:r>
        <w:separator/>
      </w:r>
    </w:p>
  </w:endnote>
  <w:endnote w:type="continuationSeparator" w:id="0">
    <w:p w:rsidR="00D84A66" w:rsidRDefault="00D84A66" w:rsidP="000D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7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23"/>
      <w:gridCol w:w="1882"/>
      <w:gridCol w:w="1859"/>
      <w:gridCol w:w="1928"/>
      <w:gridCol w:w="2524"/>
    </w:tblGrid>
    <w:tr w:rsidR="00E324A2" w:rsidTr="00E324A2">
      <w:trPr>
        <w:trHeight w:val="558"/>
      </w:trPr>
      <w:tc>
        <w:tcPr>
          <w:tcW w:w="2723" w:type="dxa"/>
          <w:shd w:val="clear" w:color="auto" w:fill="auto"/>
        </w:tcPr>
        <w:p w:rsidR="00E324A2" w:rsidRPr="00F4425E" w:rsidRDefault="00E324A2" w:rsidP="00E324A2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Código</w:t>
          </w:r>
        </w:p>
      </w:tc>
      <w:tc>
        <w:tcPr>
          <w:tcW w:w="1882" w:type="dxa"/>
          <w:shd w:val="clear" w:color="auto" w:fill="auto"/>
        </w:tcPr>
        <w:p w:rsidR="00E324A2" w:rsidRPr="00F4425E" w:rsidRDefault="00E324A2" w:rsidP="00E324A2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Versión:</w:t>
          </w:r>
        </w:p>
      </w:tc>
      <w:tc>
        <w:tcPr>
          <w:tcW w:w="1859" w:type="dxa"/>
          <w:shd w:val="clear" w:color="auto" w:fill="auto"/>
        </w:tcPr>
        <w:p w:rsidR="00E324A2" w:rsidRPr="00F4425E" w:rsidRDefault="00E324A2" w:rsidP="00E324A2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Fecha:</w:t>
          </w:r>
        </w:p>
      </w:tc>
      <w:tc>
        <w:tcPr>
          <w:tcW w:w="1928" w:type="dxa"/>
          <w:shd w:val="clear" w:color="auto" w:fill="auto"/>
        </w:tcPr>
        <w:p w:rsidR="00E324A2" w:rsidRPr="00F4425E" w:rsidRDefault="00E324A2" w:rsidP="00E324A2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Consecutivo</w:t>
          </w:r>
        </w:p>
      </w:tc>
      <w:tc>
        <w:tcPr>
          <w:tcW w:w="2524" w:type="dxa"/>
          <w:shd w:val="clear" w:color="auto" w:fill="auto"/>
        </w:tcPr>
        <w:p w:rsidR="00E324A2" w:rsidRPr="00F4425E" w:rsidRDefault="00E324A2" w:rsidP="00E324A2">
          <w:pPr>
            <w:pStyle w:val="Piedepgina"/>
            <w:rPr>
              <w:sz w:val="16"/>
              <w:szCs w:val="16"/>
            </w:rPr>
          </w:pPr>
          <w:proofErr w:type="spellStart"/>
          <w:r w:rsidRPr="00F4425E">
            <w:rPr>
              <w:sz w:val="16"/>
              <w:szCs w:val="16"/>
            </w:rPr>
            <w:t>VoBo</w:t>
          </w:r>
          <w:proofErr w:type="spellEnd"/>
          <w:r w:rsidRPr="00F4425E">
            <w:rPr>
              <w:sz w:val="16"/>
              <w:szCs w:val="16"/>
            </w:rPr>
            <w:t>.</w:t>
          </w:r>
        </w:p>
      </w:tc>
    </w:tr>
  </w:tbl>
  <w:p w:rsidR="00E324A2" w:rsidRPr="00E324A2" w:rsidRDefault="00E324A2" w:rsidP="00E324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A66" w:rsidRDefault="00D84A66" w:rsidP="000D2401">
      <w:pPr>
        <w:spacing w:after="0" w:line="240" w:lineRule="auto"/>
      </w:pPr>
      <w:r>
        <w:separator/>
      </w:r>
    </w:p>
  </w:footnote>
  <w:footnote w:type="continuationSeparator" w:id="0">
    <w:p w:rsidR="00D84A66" w:rsidRDefault="00D84A66" w:rsidP="000D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31" w:type="dxa"/>
      <w:tblInd w:w="-871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44"/>
      <w:gridCol w:w="7231"/>
      <w:gridCol w:w="986"/>
      <w:gridCol w:w="1670"/>
    </w:tblGrid>
    <w:tr w:rsidR="000D2401" w:rsidRPr="00750EC7" w:rsidTr="00F40A9E">
      <w:trPr>
        <w:cantSplit/>
        <w:trHeight w:val="235"/>
      </w:trPr>
      <w:tc>
        <w:tcPr>
          <w:tcW w:w="1144" w:type="dxa"/>
          <w:vMerge w:val="restart"/>
        </w:tcPr>
        <w:p w:rsidR="000D2401" w:rsidRPr="00750EC7" w:rsidRDefault="00B46137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190BAD55" wp14:editId="70055A10">
                <wp:simplePos x="0" y="0"/>
                <wp:positionH relativeFrom="column">
                  <wp:posOffset>-5715</wp:posOffset>
                </wp:positionH>
                <wp:positionV relativeFrom="paragraph">
                  <wp:posOffset>212090</wp:posOffset>
                </wp:positionV>
                <wp:extent cx="635000" cy="546100"/>
                <wp:effectExtent l="0" t="0" r="0" b="6350"/>
                <wp:wrapTight wrapText="bothSides">
                  <wp:wrapPolygon edited="0">
                    <wp:start x="0" y="0"/>
                    <wp:lineTo x="0" y="21098"/>
                    <wp:lineTo x="20736" y="21098"/>
                    <wp:lineTo x="20736" y="0"/>
                    <wp:lineTo x="0" y="0"/>
                  </wp:wrapPolygon>
                </wp:wrapTight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231" w:type="dxa"/>
          <w:vMerge w:val="restart"/>
          <w:vAlign w:val="center"/>
        </w:tcPr>
        <w:tbl>
          <w:tblPr>
            <w:tblpPr w:leftFromText="141" w:rightFromText="141" w:vertAnchor="text" w:horzAnchor="margin" w:tblpXSpec="right" w:tblpY="-112"/>
            <w:tblOverlap w:val="never"/>
            <w:tblW w:w="79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794"/>
          </w:tblGrid>
          <w:tr w:rsidR="000D2401" w:rsidRPr="00750EC7" w:rsidTr="00F40A9E">
            <w:trPr>
              <w:trHeight w:val="894"/>
            </w:trPr>
            <w:tc>
              <w:tcPr>
                <w:tcW w:w="794" w:type="dxa"/>
                <w:shd w:val="clear" w:color="auto" w:fill="auto"/>
                <w:noWrap/>
                <w:vAlign w:val="bottom"/>
              </w:tcPr>
              <w:p w:rsidR="000D2401" w:rsidRPr="00750EC7" w:rsidRDefault="000D2401" w:rsidP="000D2401">
                <w:pPr>
                  <w:spacing w:after="0" w:line="240" w:lineRule="auto"/>
                  <w:ind w:left="-75" w:right="95"/>
                  <w:rPr>
                    <w:rFonts w:ascii="Arial" w:eastAsia="Times New Roman" w:hAnsi="Arial" w:cs="Arial"/>
                    <w:sz w:val="18"/>
                    <w:szCs w:val="18"/>
                    <w:lang w:eastAsia="es-CO"/>
                  </w:rPr>
                </w:pPr>
                <w:r w:rsidRPr="00750EC7">
                  <w:rPr>
                    <w:noProof/>
                    <w:sz w:val="18"/>
                    <w:szCs w:val="18"/>
                    <w:lang w:eastAsia="es-CO"/>
                  </w:rPr>
                  <w:drawing>
                    <wp:inline distT="0" distB="0" distL="0" distR="0" wp14:anchorId="4BCD91A1" wp14:editId="2858B7F7">
                      <wp:extent cx="520700" cy="914078"/>
                      <wp:effectExtent l="0" t="0" r="0" b="635"/>
                      <wp:docPr id="8" name="0 Image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0 Imagen"/>
                              <pic:cNvPicPr/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38" cy="11147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D2401" w:rsidRDefault="00963C27" w:rsidP="000D2401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20"/>
              <w:szCs w:val="18"/>
            </w:rPr>
          </w:pPr>
          <w:r>
            <w:rPr>
              <w:rFonts w:ascii="Arial" w:hAnsi="Arial" w:cs="Arial"/>
              <w:b/>
              <w:sz w:val="20"/>
              <w:szCs w:val="18"/>
            </w:rPr>
            <w:t xml:space="preserve">GESTION </w:t>
          </w:r>
          <w:r w:rsidR="00E324A2">
            <w:rPr>
              <w:rFonts w:ascii="Arial" w:hAnsi="Arial" w:cs="Arial"/>
              <w:b/>
              <w:sz w:val="20"/>
              <w:szCs w:val="18"/>
            </w:rPr>
            <w:t>FINANCIERA</w:t>
          </w:r>
        </w:p>
        <w:p w:rsidR="00963C27" w:rsidRDefault="00963C27" w:rsidP="000D2401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20"/>
              <w:szCs w:val="18"/>
            </w:rPr>
          </w:pPr>
        </w:p>
        <w:p w:rsidR="00963C27" w:rsidRDefault="00963C27" w:rsidP="000D2401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18"/>
              <w:szCs w:val="18"/>
            </w:rPr>
          </w:pPr>
        </w:p>
        <w:p w:rsidR="000D2401" w:rsidRDefault="000D2401" w:rsidP="000D2401">
          <w:pPr>
            <w:spacing w:line="240" w:lineRule="auto"/>
            <w:contextualSpacing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INSTRUCTIVO</w:t>
          </w:r>
        </w:p>
        <w:p w:rsidR="000D2401" w:rsidRPr="000277E9" w:rsidRDefault="000D2401" w:rsidP="000D2401">
          <w:pPr>
            <w:spacing w:line="240" w:lineRule="auto"/>
            <w:contextualSpacing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EVALUACION PROVEEDORES</w:t>
          </w:r>
        </w:p>
      </w:tc>
      <w:tc>
        <w:tcPr>
          <w:tcW w:w="986" w:type="dxa"/>
          <w:vAlign w:val="center"/>
        </w:tcPr>
        <w:p w:rsidR="000D2401" w:rsidRPr="00750EC7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>Código:</w:t>
          </w:r>
          <w:r w:rsidRPr="00750EC7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670" w:type="dxa"/>
          <w:vAlign w:val="center"/>
        </w:tcPr>
        <w:p w:rsidR="000D2401" w:rsidRPr="00C03885" w:rsidRDefault="00E324A2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GFI</w:t>
          </w:r>
          <w:r w:rsidR="000D2401">
            <w:rPr>
              <w:rFonts w:cs="Arial"/>
              <w:sz w:val="18"/>
              <w:szCs w:val="18"/>
            </w:rPr>
            <w:t>-INS-007</w:t>
          </w:r>
        </w:p>
      </w:tc>
    </w:tr>
    <w:tr w:rsidR="000D2401" w:rsidRPr="00F364E5" w:rsidTr="00F40A9E">
      <w:trPr>
        <w:cantSplit/>
        <w:trHeight w:val="238"/>
      </w:trPr>
      <w:tc>
        <w:tcPr>
          <w:tcW w:w="1144" w:type="dxa"/>
          <w:vMerge/>
        </w:tcPr>
        <w:p w:rsidR="000D2401" w:rsidRPr="00750EC7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rPr>
              <w:rFonts w:cs="Arial"/>
              <w:noProof/>
              <w:sz w:val="18"/>
              <w:szCs w:val="18"/>
            </w:rPr>
          </w:pPr>
        </w:p>
      </w:tc>
      <w:tc>
        <w:tcPr>
          <w:tcW w:w="7231" w:type="dxa"/>
          <w:vMerge/>
          <w:vAlign w:val="center"/>
        </w:tcPr>
        <w:p w:rsidR="000D2401" w:rsidRPr="00750EC7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outlineLvl w:val="4"/>
            <w:rPr>
              <w:rFonts w:cs="Arial"/>
              <w:sz w:val="18"/>
              <w:szCs w:val="18"/>
            </w:rPr>
          </w:pPr>
        </w:p>
      </w:tc>
      <w:tc>
        <w:tcPr>
          <w:tcW w:w="986" w:type="dxa"/>
          <w:vAlign w:val="center"/>
        </w:tcPr>
        <w:p w:rsidR="000D2401" w:rsidRPr="00750EC7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 xml:space="preserve">Versión: </w:t>
          </w:r>
        </w:p>
      </w:tc>
      <w:tc>
        <w:tcPr>
          <w:tcW w:w="1670" w:type="dxa"/>
          <w:vAlign w:val="center"/>
        </w:tcPr>
        <w:p w:rsidR="000D2401" w:rsidRPr="00C03885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01</w:t>
          </w:r>
        </w:p>
      </w:tc>
    </w:tr>
    <w:tr w:rsidR="000D2401" w:rsidRPr="00F364E5" w:rsidTr="00F40A9E">
      <w:trPr>
        <w:cantSplit/>
        <w:trHeight w:val="470"/>
      </w:trPr>
      <w:tc>
        <w:tcPr>
          <w:tcW w:w="1144" w:type="dxa"/>
          <w:vMerge/>
        </w:tcPr>
        <w:p w:rsidR="000D2401" w:rsidRPr="00750EC7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rPr>
              <w:rFonts w:cs="Arial"/>
              <w:noProof/>
              <w:sz w:val="18"/>
              <w:szCs w:val="18"/>
            </w:rPr>
          </w:pPr>
        </w:p>
      </w:tc>
      <w:tc>
        <w:tcPr>
          <w:tcW w:w="7231" w:type="dxa"/>
          <w:vMerge/>
          <w:vAlign w:val="center"/>
        </w:tcPr>
        <w:p w:rsidR="000D2401" w:rsidRPr="00750EC7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outlineLvl w:val="4"/>
            <w:rPr>
              <w:rFonts w:cs="Arial"/>
              <w:sz w:val="18"/>
              <w:szCs w:val="18"/>
            </w:rPr>
          </w:pPr>
        </w:p>
      </w:tc>
      <w:tc>
        <w:tcPr>
          <w:tcW w:w="986" w:type="dxa"/>
          <w:vAlign w:val="center"/>
        </w:tcPr>
        <w:p w:rsidR="000D2401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 xml:space="preserve">Fecha: </w:t>
          </w:r>
        </w:p>
        <w:p w:rsidR="00E324A2" w:rsidRDefault="00E324A2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  <w:p w:rsidR="00E324A2" w:rsidRPr="00750EC7" w:rsidRDefault="00E324A2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Página:</w:t>
          </w:r>
        </w:p>
      </w:tc>
      <w:tc>
        <w:tcPr>
          <w:tcW w:w="1670" w:type="dxa"/>
          <w:vAlign w:val="center"/>
        </w:tcPr>
        <w:p w:rsidR="000D2401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01/10/2018</w:t>
          </w:r>
        </w:p>
        <w:p w:rsidR="00E324A2" w:rsidRDefault="00E324A2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  <w:p w:rsidR="00E324A2" w:rsidRDefault="00E324A2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 w:rsidRPr="00E324A2">
            <w:rPr>
              <w:rFonts w:cs="Arial"/>
              <w:b/>
              <w:sz w:val="18"/>
              <w:szCs w:val="18"/>
            </w:rPr>
            <w:fldChar w:fldCharType="begin"/>
          </w:r>
          <w:r w:rsidRPr="00E324A2">
            <w:rPr>
              <w:rFonts w:cs="Arial"/>
              <w:b/>
              <w:sz w:val="18"/>
              <w:szCs w:val="18"/>
            </w:rPr>
            <w:instrText>PAGE   \* MERGEFORMAT</w:instrText>
          </w:r>
          <w:r w:rsidRPr="00E324A2">
            <w:rPr>
              <w:rFonts w:cs="Arial"/>
              <w:b/>
              <w:sz w:val="18"/>
              <w:szCs w:val="18"/>
            </w:rPr>
            <w:fldChar w:fldCharType="separate"/>
          </w:r>
          <w:r w:rsidR="00B46137" w:rsidRPr="00B46137">
            <w:rPr>
              <w:rFonts w:cs="Arial"/>
              <w:b/>
              <w:noProof/>
              <w:sz w:val="18"/>
              <w:szCs w:val="18"/>
              <w:lang w:val="es-ES"/>
            </w:rPr>
            <w:t>1</w:t>
          </w:r>
          <w:r w:rsidRPr="00E324A2">
            <w:rPr>
              <w:rFonts w:cs="Arial"/>
              <w:b/>
              <w:sz w:val="18"/>
              <w:szCs w:val="18"/>
            </w:rPr>
            <w:fldChar w:fldCharType="end"/>
          </w:r>
          <w:r w:rsidR="00B46137">
            <w:rPr>
              <w:rFonts w:cs="Arial"/>
              <w:b/>
              <w:sz w:val="18"/>
              <w:szCs w:val="18"/>
            </w:rPr>
            <w:t xml:space="preserve">  de  6</w:t>
          </w:r>
        </w:p>
        <w:p w:rsidR="000D2401" w:rsidRPr="00C03885" w:rsidRDefault="000D2401" w:rsidP="000D2401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</w:tc>
    </w:tr>
  </w:tbl>
  <w:p w:rsidR="000D2401" w:rsidRDefault="000D24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20227"/>
    <w:multiLevelType w:val="hybridMultilevel"/>
    <w:tmpl w:val="75F846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01"/>
    <w:rsid w:val="00031BFC"/>
    <w:rsid w:val="0009030A"/>
    <w:rsid w:val="000D2185"/>
    <w:rsid w:val="000D21CE"/>
    <w:rsid w:val="000D2401"/>
    <w:rsid w:val="00121EAF"/>
    <w:rsid w:val="00127380"/>
    <w:rsid w:val="00135B90"/>
    <w:rsid w:val="00140FAA"/>
    <w:rsid w:val="001A2D74"/>
    <w:rsid w:val="001A7FD2"/>
    <w:rsid w:val="002333BB"/>
    <w:rsid w:val="00255189"/>
    <w:rsid w:val="002E050E"/>
    <w:rsid w:val="00372CFD"/>
    <w:rsid w:val="00386176"/>
    <w:rsid w:val="003A02DB"/>
    <w:rsid w:val="003D789A"/>
    <w:rsid w:val="003E52D3"/>
    <w:rsid w:val="004157D0"/>
    <w:rsid w:val="00502715"/>
    <w:rsid w:val="00635F1F"/>
    <w:rsid w:val="00643C96"/>
    <w:rsid w:val="00691FC5"/>
    <w:rsid w:val="006F7103"/>
    <w:rsid w:val="0073260A"/>
    <w:rsid w:val="007A41B8"/>
    <w:rsid w:val="007C1401"/>
    <w:rsid w:val="008308FA"/>
    <w:rsid w:val="00833952"/>
    <w:rsid w:val="00894803"/>
    <w:rsid w:val="008A08AA"/>
    <w:rsid w:val="00963C27"/>
    <w:rsid w:val="009969AC"/>
    <w:rsid w:val="009D49D4"/>
    <w:rsid w:val="00A45F94"/>
    <w:rsid w:val="00A91EE0"/>
    <w:rsid w:val="00A93889"/>
    <w:rsid w:val="00AB0BFD"/>
    <w:rsid w:val="00AD6098"/>
    <w:rsid w:val="00B46137"/>
    <w:rsid w:val="00BC16E8"/>
    <w:rsid w:val="00BF371D"/>
    <w:rsid w:val="00C610F3"/>
    <w:rsid w:val="00C974DF"/>
    <w:rsid w:val="00D27891"/>
    <w:rsid w:val="00D463EE"/>
    <w:rsid w:val="00D84A66"/>
    <w:rsid w:val="00E324A2"/>
    <w:rsid w:val="00E475B7"/>
    <w:rsid w:val="00F771D1"/>
    <w:rsid w:val="00F9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BC2C6D-FAF4-4D9A-8113-CABE19FD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4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140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40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2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401"/>
  </w:style>
  <w:style w:type="paragraph" w:styleId="Piedepgina">
    <w:name w:val="footer"/>
    <w:basedOn w:val="Normal"/>
    <w:link w:val="PiedepginaCar"/>
    <w:uiPriority w:val="99"/>
    <w:unhideWhenUsed/>
    <w:rsid w:val="000D24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almacen</dc:creator>
  <cp:lastModifiedBy>lenovo</cp:lastModifiedBy>
  <cp:revision>20</cp:revision>
  <dcterms:created xsi:type="dcterms:W3CDTF">2018-10-10T15:14:00Z</dcterms:created>
  <dcterms:modified xsi:type="dcterms:W3CDTF">2018-11-02T01:31:00Z</dcterms:modified>
</cp:coreProperties>
</file>