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center"/>
            <w:rPr>
              <w:b w:val="1"/>
              <w:sz w:val="24"/>
              <w:szCs w:val="24"/>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spacing w:after="0" w:line="240" w:lineRule="auto"/>
            <w:jc w:val="center"/>
            <w:rPr>
              <w:b w:val="1"/>
              <w:sz w:val="24"/>
              <w:szCs w:val="24"/>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jc w:val="center"/>
            <w:rPr>
              <w:b w:val="1"/>
              <w:sz w:val="24"/>
              <w:szCs w:val="24"/>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240" w:lineRule="auto"/>
            <w:jc w:val="center"/>
            <w:rPr>
              <w:b w:val="1"/>
              <w:sz w:val="24"/>
              <w:szCs w:val="24"/>
            </w:rPr>
          </w:pPr>
          <w:r w:rsidDel="00000000" w:rsidR="00000000" w:rsidRPr="00000000">
            <w:rPr>
              <w:rtl w:val="0"/>
            </w:rPr>
          </w:r>
        </w:p>
      </w:sdtContent>
    </w:sdt>
    <w:sdt>
      <w:sdtPr>
        <w:tag w:val="goog_rdk_4"/>
      </w:sdtPr>
      <w:sdtContent>
        <w:p w:rsidR="00000000" w:rsidDel="00000000" w:rsidP="00000000" w:rsidRDefault="00000000" w:rsidRPr="00000000" w14:paraId="00000005">
          <w:pPr>
            <w:jc w:val="both"/>
            <w:rPr>
              <w:rFonts w:ascii="Arial" w:cs="Arial" w:eastAsia="Arial" w:hAnsi="Arial"/>
              <w:b w:val="1"/>
            </w:rPr>
          </w:pPr>
          <w:r w:rsidDel="00000000" w:rsidR="00000000" w:rsidRPr="00000000">
            <w:rPr>
              <w:rtl w:val="0"/>
            </w:rPr>
          </w:r>
        </w:p>
      </w:sdtContent>
    </w:sdt>
    <w:sdt>
      <w:sdtPr>
        <w:tag w:val="goog_rdk_5"/>
      </w:sdtPr>
      <w:sdtContent>
        <w:p w:rsidR="00000000" w:rsidDel="00000000" w:rsidP="00000000" w:rsidRDefault="00000000" w:rsidRPr="00000000" w14:paraId="00000006">
          <w:pPr>
            <w:rPr>
              <w:rFonts w:ascii="Arial" w:cs="Arial" w:eastAsia="Arial" w:hAnsi="Arial"/>
              <w:sz w:val="18"/>
              <w:szCs w:val="18"/>
            </w:rPr>
          </w:pPr>
          <w:r w:rsidDel="00000000" w:rsidR="00000000" w:rsidRPr="00000000">
            <w:rPr>
              <w:rtl w:val="0"/>
            </w:rPr>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7"/>
      </w:sdtPr>
      <w:sdtContent>
        <w:p w:rsidR="00000000" w:rsidDel="00000000" w:rsidP="00000000" w:rsidRDefault="00000000" w:rsidRPr="00000000" w14:paraId="00000008">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LA LEGALIZACIÓN DE ANTICIPOS</w:t>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bl>
      <w:tblPr>
        <w:tblStyle w:val="Table1"/>
        <w:tblW w:w="1006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4"/>
        <w:gridCol w:w="7884"/>
        <w:tblGridChange w:id="0">
          <w:tblGrid>
            <w:gridCol w:w="2184"/>
            <w:gridCol w:w="7884"/>
          </w:tblGrid>
        </w:tblGridChange>
      </w:tblGrid>
      <w:tr>
        <w:trPr>
          <w:trHeight w:val="580" w:hRule="atLeast"/>
        </w:trPr>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tc>
        <w:tc>
          <w:tcPr>
            <w:shd w:fill="auto" w:val="clear"/>
          </w:tcPr>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tc>
      </w:tr>
      <w:tr>
        <w:trPr>
          <w:trHeight w:val="660" w:hRule="atLeast"/>
        </w:trPr>
        <w:tc>
          <w:tcPr>
            <w:shd w:fill="auto" w:val="clear"/>
          </w:tcPr>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tc>
        <w:tc>
          <w:tcPr>
            <w:shd w:fill="auto" w:val="clear"/>
          </w:tcPr>
          <w:sdt>
            <w:sdtPr>
              <w:tag w:val="goog_rdk_21"/>
            </w:sdtPr>
            <w:sdtContent>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22"/>
            </w:sdtPr>
            <w:sdtContent>
              <w:p w:rsidR="00000000" w:rsidDel="00000000" w:rsidP="00000000" w:rsidRDefault="00000000" w:rsidRPr="00000000" w14:paraId="0000001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23"/>
            </w:sdtPr>
            <w:sdtContent>
              <w:p w:rsidR="00000000" w:rsidDel="00000000" w:rsidP="00000000" w:rsidRDefault="00000000" w:rsidRPr="00000000" w14:paraId="0000001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4"/>
      </w:sdtPr>
      <w:sdtContent>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after="0" w:line="240" w:lineRule="auto"/>
            <w:rPr>
              <w:rFonts w:ascii="Arial" w:cs="Arial" w:eastAsia="Arial" w:hAnsi="Arial"/>
              <w:sz w:val="18"/>
              <w:szCs w:val="18"/>
            </w:rPr>
          </w:pPr>
          <w:r w:rsidDel="00000000" w:rsidR="00000000" w:rsidRPr="00000000">
            <w:rPr>
              <w:rtl w:val="0"/>
            </w:rPr>
          </w:r>
        </w:p>
      </w:sdtContent>
    </w:sdt>
    <w:tbl>
      <w:tblPr>
        <w:tblStyle w:val="Table2"/>
        <w:tblW w:w="754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265"/>
        <w:tblGridChange w:id="0">
          <w:tblGrid>
            <w:gridCol w:w="2280"/>
            <w:gridCol w:w="5265"/>
          </w:tblGrid>
        </w:tblGridChange>
      </w:tblGrid>
      <w:tr>
        <w:trPr>
          <w:trHeight w:val="420" w:hRule="atLeast"/>
        </w:trPr>
        <w:tc>
          <w:tcPr>
            <w:shd w:fill="auto"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01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01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01D">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29"/>
            </w:sdtPr>
            <w:sdtContent>
              <w:p w:rsidR="00000000" w:rsidDel="00000000" w:rsidP="00000000" w:rsidRDefault="00000000" w:rsidRPr="00000000" w14:paraId="0000001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30"/>
            </w:sdtPr>
            <w:sdtContent>
              <w:p w:rsidR="00000000" w:rsidDel="00000000" w:rsidP="00000000" w:rsidRDefault="00000000" w:rsidRPr="00000000" w14:paraId="0000001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31"/>
            </w:sdtPr>
            <w:sdtContent>
              <w:p w:rsidR="00000000" w:rsidDel="00000000" w:rsidP="00000000" w:rsidRDefault="00000000" w:rsidRPr="00000000" w14:paraId="00000020">
                <w:pPr>
                  <w:widowControl w:val="0"/>
                  <w:spacing w:after="0" w:line="240" w:lineRule="auto"/>
                  <w:rPr>
                    <w:rFonts w:ascii="Arial" w:cs="Arial" w:eastAsia="Arial" w:hAnsi="Arial"/>
                    <w:sz w:val="20"/>
                    <w:szCs w:val="20"/>
                  </w:rPr>
                </w:pPr>
                <w:r w:rsidDel="00000000" w:rsidR="00000000" w:rsidRPr="00000000">
                  <w:rPr>
                    <w:rtl w:val="0"/>
                  </w:rPr>
                </w:r>
              </w:p>
            </w:sdtContent>
          </w:sdt>
          <w:sdt>
            <w:sdtPr>
              <w:tag w:val="goog_rdk_32"/>
            </w:sdtPr>
            <w:sdtContent>
              <w:p w:rsidR="00000000" w:rsidDel="00000000" w:rsidP="00000000" w:rsidRDefault="00000000" w:rsidRPr="00000000" w14:paraId="0000002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w:t>
                </w:r>
              </w:p>
            </w:sdtContent>
          </w:sdt>
        </w:tc>
      </w:tr>
    </w:tbl>
    <w:sdt>
      <w:sdtPr>
        <w:tag w:val="goog_rdk_33"/>
      </w:sdtPr>
      <w:sdtContent>
        <w:p w:rsidR="00000000" w:rsidDel="00000000" w:rsidP="00000000" w:rsidRDefault="00000000" w:rsidRPr="00000000" w14:paraId="00000022">
          <w:pPr>
            <w:spacing w:after="0" w:line="240" w:lineRule="auto"/>
            <w:rPr>
              <w:rFonts w:ascii="Arial" w:cs="Arial" w:eastAsia="Arial" w:hAnsi="Arial"/>
              <w:sz w:val="18"/>
              <w:szCs w:val="18"/>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240" w:lineRule="auto"/>
            <w:jc w:val="center"/>
            <w:rPr>
              <w:b w:val="1"/>
              <w:sz w:val="24"/>
              <w:szCs w:val="24"/>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after="0" w:line="240" w:lineRule="auto"/>
            <w:jc w:val="center"/>
            <w:rPr>
              <w:b w:val="1"/>
              <w:sz w:val="24"/>
              <w:szCs w:val="24"/>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after="0" w:line="240" w:lineRule="auto"/>
            <w:jc w:val="center"/>
            <w:rPr>
              <w:b w:val="1"/>
              <w:sz w:val="24"/>
              <w:szCs w:val="24"/>
            </w:rPr>
          </w:pPr>
          <w:r w:rsidDel="00000000" w:rsidR="00000000" w:rsidRPr="00000000">
            <w:rPr>
              <w:rtl w:val="0"/>
            </w:rPr>
          </w:r>
        </w:p>
      </w:sdtContent>
    </w:sdt>
    <w:sdt>
      <w:sdtPr>
        <w:tag w:val="goog_rdk_38"/>
      </w:sdtPr>
      <w:sdtContent>
        <w:p w:rsidR="00000000" w:rsidDel="00000000" w:rsidP="00000000" w:rsidRDefault="00000000" w:rsidRPr="00000000" w14:paraId="00000027">
          <w:pPr>
            <w:spacing w:after="0" w:line="240" w:lineRule="auto"/>
            <w:jc w:val="center"/>
            <w:rPr>
              <w:b w:val="1"/>
              <w:sz w:val="24"/>
              <w:szCs w:val="24"/>
            </w:rPr>
          </w:pPr>
          <w:r w:rsidDel="00000000" w:rsidR="00000000" w:rsidRPr="00000000">
            <w:rPr>
              <w:rtl w:val="0"/>
            </w:rPr>
          </w:r>
        </w:p>
      </w:sdtContent>
    </w:sdt>
    <w:tbl>
      <w:tblPr>
        <w:tblStyle w:val="Table3"/>
        <w:tblW w:w="11265.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3"/>
        <w:gridCol w:w="7962"/>
        <w:tblGridChange w:id="0">
          <w:tblGrid>
            <w:gridCol w:w="3303"/>
            <w:gridCol w:w="7962"/>
          </w:tblGrid>
        </w:tblGridChange>
      </w:tblGrid>
      <w:tr>
        <w:trPr>
          <w:trHeight w:val="740" w:hRule="atLeast"/>
        </w:trPr>
        <w:tc>
          <w:tcPr>
            <w:vMerge w:val="restart"/>
            <w:shd w:fill="f3f3f3" w:val="clear"/>
            <w:vAlign w:val="center"/>
          </w:tcPr>
          <w:sdt>
            <w:sdtPr>
              <w:tag w:val="goog_rdk_39"/>
            </w:sdtPr>
            <w:sdtContent>
              <w:p w:rsidR="00000000" w:rsidDel="00000000" w:rsidP="00000000" w:rsidRDefault="00000000" w:rsidRPr="00000000" w14:paraId="00000028">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40"/>
            </w:sdtPr>
            <w:sdtContent>
              <w:p w:rsidR="00000000" w:rsidDel="00000000" w:rsidP="00000000" w:rsidRDefault="00000000" w:rsidRPr="00000000" w14:paraId="00000029">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41"/>
            </w:sdtPr>
            <w:sdtContent>
              <w:p w:rsidR="00000000" w:rsidDel="00000000" w:rsidP="00000000" w:rsidRDefault="00000000" w:rsidRPr="00000000" w14:paraId="0000002A">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llevar a cabo la legalización de los anticipos. </w:t>
                </w:r>
              </w:p>
            </w:sdtContent>
          </w:sdt>
          <w:sdt>
            <w:sdtPr>
              <w:tag w:val="goog_rdk_42"/>
            </w:sdtPr>
            <w:sdtContent>
              <w:p w:rsidR="00000000" w:rsidDel="00000000" w:rsidP="00000000" w:rsidRDefault="00000000" w:rsidRPr="00000000" w14:paraId="0000002B">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44"/>
            </w:sdtPr>
            <w:sdtConten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45"/>
            </w:sdtPr>
            <w:sdtContent>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460" w:hRule="atLeast"/>
        </w:trPr>
        <w:tc>
          <w:tcPr>
            <w:shd w:fill="f3f3f3" w:val="clear"/>
            <w:vAlign w:val="center"/>
          </w:tcPr>
          <w:sdt>
            <w:sdtPr>
              <w:tag w:val="goog_rdk_46"/>
            </w:sdtPr>
            <w:sdtContent>
              <w:p w:rsidR="00000000" w:rsidDel="00000000" w:rsidP="00000000" w:rsidRDefault="00000000" w:rsidRPr="00000000" w14:paraId="0000002F">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47"/>
            </w:sdtPr>
            <w:sdtContent>
              <w:p w:rsidR="00000000" w:rsidDel="00000000" w:rsidP="00000000" w:rsidRDefault="00000000" w:rsidRPr="00000000" w14:paraId="00000030">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proceso de  gestión financiera y que tiene a su cargo actividades de legalización de anticipos.</w:t>
                </w:r>
              </w:p>
            </w:sdtContent>
          </w:sdt>
        </w:tc>
      </w:tr>
      <w:tr>
        <w:trPr>
          <w:trHeight w:val="280" w:hRule="atLeast"/>
        </w:trPr>
        <w:tc>
          <w:tcPr>
            <w:shd w:fill="f3f3f3" w:val="clear"/>
            <w:vAlign w:val="center"/>
          </w:tcPr>
          <w:sdt>
            <w:sdtPr>
              <w:tag w:val="goog_rdk_48"/>
            </w:sdtPr>
            <w:sdtContent>
              <w:p w:rsidR="00000000" w:rsidDel="00000000" w:rsidP="00000000" w:rsidRDefault="00000000" w:rsidRPr="00000000" w14:paraId="00000031">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49"/>
            </w:sdtPr>
            <w:sdtContent>
              <w:p w:rsidR="00000000" w:rsidDel="00000000" w:rsidP="00000000" w:rsidRDefault="00000000" w:rsidRPr="00000000" w14:paraId="00000032">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Auxiliar de Contabilidad</w:t>
                </w:r>
              </w:p>
            </w:sdtContent>
          </w:sdt>
        </w:tc>
      </w:tr>
    </w:tbl>
    <w:sdt>
      <w:sdtPr>
        <w:tag w:val="goog_rdk_50"/>
      </w:sdtPr>
      <w:sdtContent>
        <w:p w:rsidR="00000000" w:rsidDel="00000000" w:rsidP="00000000" w:rsidRDefault="00000000" w:rsidRPr="00000000" w14:paraId="00000033">
          <w:pPr>
            <w:spacing w:after="0" w:line="240" w:lineRule="auto"/>
            <w:jc w:val="both"/>
            <w:rPr>
              <w:b w:val="1"/>
              <w:sz w:val="24"/>
              <w:szCs w:val="24"/>
            </w:rPr>
          </w:pPr>
          <w:r w:rsidDel="00000000" w:rsidR="00000000" w:rsidRPr="00000000">
            <w:rPr>
              <w:rtl w:val="0"/>
            </w:rPr>
          </w:r>
        </w:p>
      </w:sdtContent>
    </w:sdt>
    <w:sdt>
      <w:sdtPr>
        <w:tag w:val="goog_rdk_51"/>
      </w:sdtPr>
      <w:sdtContent>
        <w:p w:rsidR="00000000" w:rsidDel="00000000" w:rsidP="00000000" w:rsidRDefault="00000000" w:rsidRPr="00000000" w14:paraId="0000003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proceso de legalización de anticipos se lleva a cabo de la siguiente manera.</w:t>
          </w:r>
        </w:p>
      </w:sdtContent>
    </w:sdt>
    <w:sdt>
      <w:sdtPr>
        <w:tag w:val="goog_rdk_52"/>
      </w:sdtPr>
      <w:sdtContent>
        <w:p w:rsidR="00000000" w:rsidDel="00000000" w:rsidP="00000000" w:rsidRDefault="00000000" w:rsidRPr="00000000" w14:paraId="00000035">
          <w:pPr>
            <w:spacing w:after="0" w:line="240" w:lineRule="auto"/>
            <w:jc w:val="both"/>
            <w:rPr>
              <w:rFonts w:ascii="Arial" w:cs="Arial" w:eastAsia="Arial" w:hAnsi="Arial"/>
              <w:sz w:val="20"/>
              <w:szCs w:val="20"/>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Legalizaciones de anticipos (LG01)</w:t>
          </w:r>
        </w:p>
      </w:sdtContent>
    </w:sdt>
    <w:sdt>
      <w:sdtPr>
        <w:tag w:val="goog_rdk_54"/>
      </w:sdtPr>
      <w:sdtContent>
        <w:p w:rsidR="00000000" w:rsidDel="00000000" w:rsidP="00000000" w:rsidRDefault="00000000" w:rsidRPr="00000000" w14:paraId="00000037">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cada uno de los documentos soportes que presenta el empleado; los cuales deben reunir los requisitos establecidos por ley (razón social, Nit, nombres y apellidos tipo de régimen, fecha, dirección, teléfono, valor legible).</w:t>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documentos soportes no pueden tener tachones ni enmendaduras caso contrario no se reciben.</w:t>
          </w: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gastos menores (GFI-FOR-002), como por ejemplo transporte urbano, compra de refrigerios y otros tipos de servicios o bienes que no generen factura o recibo se debe justificar con el comprobante de gastos menores (GFI-FOR-002).</w:t>
          </w:r>
          <w:r w:rsidDel="00000000" w:rsidR="00000000" w:rsidRPr="00000000">
            <w:rPr>
              <w:rtl w:val="0"/>
            </w:rPr>
          </w:r>
        </w:p>
      </w:sdtContent>
    </w:sdt>
    <w:sdt>
      <w:sdtPr>
        <w:tag w:val="goog_rdk_58"/>
      </w:sdtPr>
      <w:sdtContent>
        <w:p w:rsidR="00000000" w:rsidDel="00000000" w:rsidP="00000000" w:rsidRDefault="00000000" w:rsidRPr="00000000" w14:paraId="0000003B">
          <w:pPr>
            <w:tabs>
              <w:tab w:val="left" w:pos="1590"/>
            </w:tabs>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59"/>
      </w:sdtPr>
      <w:sdtContent>
        <w:p w:rsidR="00000000" w:rsidDel="00000000" w:rsidP="00000000" w:rsidRDefault="00000000" w:rsidRPr="00000000" w14:paraId="0000003C">
          <w:pPr>
            <w:tabs>
              <w:tab w:val="left" w:pos="1590"/>
            </w:tabs>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60"/>
      </w:sdtPr>
      <w:sdtContent>
        <w:p w:rsidR="00000000" w:rsidDel="00000000" w:rsidP="00000000" w:rsidRDefault="00000000" w:rsidRPr="00000000" w14:paraId="0000003D">
          <w:pPr>
            <w:jc w:val="both"/>
            <w:rPr/>
          </w:pPr>
          <w:r w:rsidDel="00000000" w:rsidR="00000000" w:rsidRPr="00000000">
            <w:rPr/>
            <w:drawing>
              <wp:inline distB="0" distT="0" distL="0" distR="0">
                <wp:extent cx="5493081" cy="2667713"/>
                <wp:effectExtent b="0" l="0" r="0" t="0"/>
                <wp:docPr id="1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93081" cy="2667713"/>
                        </a:xfrm>
                        <a:prstGeom prst="rect"/>
                        <a:ln/>
                      </pic:spPr>
                    </pic:pic>
                  </a:graphicData>
                </a:graphic>
              </wp:inline>
            </w:drawing>
          </w:r>
          <w:r w:rsidDel="00000000" w:rsidR="00000000" w:rsidRPr="00000000">
            <w:rPr>
              <w:rtl w:val="0"/>
            </w:rPr>
          </w:r>
        </w:p>
      </w:sdtContent>
    </w:sdt>
    <w:sdt>
      <w:sdtPr>
        <w:tag w:val="goog_rdk_61"/>
      </w:sdtPr>
      <w:sdtContent>
        <w:p w:rsidR="00000000" w:rsidDel="00000000" w:rsidP="00000000" w:rsidRDefault="00000000" w:rsidRPr="00000000" w14:paraId="0000003E">
          <w:pPr>
            <w:jc w:val="both"/>
            <w:rPr/>
          </w:pPr>
          <w:r w:rsidDel="00000000" w:rsidR="00000000" w:rsidRPr="00000000">
            <w:rPr>
              <w:rtl w:val="0"/>
            </w:rPr>
          </w:r>
        </w:p>
      </w:sdtContent>
    </w:sdt>
    <w:sdt>
      <w:sdtPr>
        <w:tag w:val="goog_rdk_62"/>
      </w:sdtPr>
      <w:sdtContent>
        <w:p w:rsidR="00000000" w:rsidDel="00000000" w:rsidP="00000000" w:rsidRDefault="00000000" w:rsidRPr="00000000" w14:paraId="0000003F">
          <w:pPr>
            <w:jc w:val="both"/>
            <w:rPr/>
          </w:pPr>
          <w:r w:rsidDel="00000000" w:rsidR="00000000" w:rsidRPr="00000000">
            <w:rPr>
              <w:rtl w:val="0"/>
            </w:rPr>
          </w:r>
        </w:p>
      </w:sdtContent>
    </w:sdt>
    <w:sdt>
      <w:sdtPr>
        <w:tag w:val="goog_rdk_63"/>
      </w:sdtPr>
      <w:sdtContent>
        <w:p w:rsidR="00000000" w:rsidDel="00000000" w:rsidP="00000000" w:rsidRDefault="00000000" w:rsidRPr="00000000" w14:paraId="00000040">
          <w:pPr>
            <w:jc w:val="both"/>
            <w:rPr/>
          </w:pPr>
          <w:r w:rsidDel="00000000" w:rsidR="00000000" w:rsidRPr="00000000">
            <w:rPr>
              <w:rtl w:val="0"/>
            </w:rPr>
          </w:r>
        </w:p>
      </w:sdtContent>
    </w:sdt>
    <w:sdt>
      <w:sdtPr>
        <w:tag w:val="goog_rdk_64"/>
      </w:sdtPr>
      <w:sdtContent>
        <w:p w:rsidR="00000000" w:rsidDel="00000000" w:rsidP="00000000" w:rsidRDefault="00000000" w:rsidRPr="00000000" w14:paraId="00000041">
          <w:pPr>
            <w:jc w:val="both"/>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relacionar todos los gastos presentados deben diligenciar el Formato Legalización anticipo (GFI-FOR-001) donde irá cada soporte enumerado con su nit valor y concepto, cada entrega debe tener el centro de Utilidad.</w:t>
          </w: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35768" cy="3415407"/>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35768" cy="3415407"/>
                        </a:xfrm>
                        <a:prstGeom prst="rect"/>
                        <a:ln/>
                      </pic:spPr>
                    </pic:pic>
                  </a:graphicData>
                </a:graphic>
              </wp:inline>
            </w:drawing>
          </w: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empleado debe justificar el gasto por el valor total del anticipo; caso contrario debe reintegrar el excedente en tesorería y presentar copia del recibo de caja.</w:t>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los documentos verificar cuales tienen base para aplicar retención por concepto de compras o servicios y registrar en el periodo correspondiente. Si ya se cancelaron los impuestos pasar con el jefe de contabilidad para solicitar autorización.</w:t>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momento de iniciar con el registro del comprobante contable el sistema solicita el número del documento, debe colocarse el año seguido del número de la Pr03 (2017269), la fecha que se registra es de los soportes el último día del gasto.</w:t>
          </w: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1143000"/>
                <wp:effectExtent b="0" l="0" r="0" t="0"/>
                <wp:docPr id="19" name="image6.png"/>
                <a:graphic>
                  <a:graphicData uri="http://schemas.openxmlformats.org/drawingml/2006/picture">
                    <pic:pic>
                      <pic:nvPicPr>
                        <pic:cNvPr id="0" name="image6.png"/>
                        <pic:cNvPicPr preferRelativeResize="0"/>
                      </pic:nvPicPr>
                      <pic:blipFill>
                        <a:blip r:embed="rId9"/>
                        <a:srcRect b="64936" l="0" r="0" t="4124"/>
                        <a:stretch>
                          <a:fillRect/>
                        </a:stretch>
                      </pic:blipFill>
                      <pic:spPr>
                        <a:xfrm>
                          <a:off x="0" y="0"/>
                          <a:ext cx="5612130" cy="1143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990600</wp:posOffset>
                    </wp:positionV>
                    <wp:extent cx="790575" cy="38100"/>
                    <wp:effectExtent b="0" l="0" r="0" t="0"/>
                    <wp:wrapNone/>
                    <wp:docPr id="15" name=""/>
                    <a:graphic>
                      <a:graphicData uri="http://schemas.microsoft.com/office/word/2010/wordprocessingShape">
                        <wps:wsp>
                          <wps:cNvCnPr/>
                          <wps:spPr>
                            <a:xfrm flipH="1">
                              <a:off x="4950713" y="3775238"/>
                              <a:ext cx="790575" cy="9525"/>
                            </a:xfrm>
                            <a:prstGeom prst="straightConnector1">
                              <a:avLst/>
                            </a:prstGeom>
                            <a:noFill/>
                            <a:ln cap="flat" cmpd="sng" w="38100">
                              <a:solidFill>
                                <a:schemeClr val="accent2"/>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990600</wp:posOffset>
                    </wp:positionV>
                    <wp:extent cx="790575" cy="38100"/>
                    <wp:effectExtent b="0" l="0" r="0" t="0"/>
                    <wp:wrapNone/>
                    <wp:docPr id="1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790575" cy="38100"/>
                            </a:xfrm>
                            <a:prstGeom prst="rect"/>
                            <a:ln/>
                          </pic:spPr>
                        </pic:pic>
                      </a:graphicData>
                    </a:graphic>
                  </wp:anchor>
                </w:drawing>
              </mc:Fallback>
            </mc:AlternateContent>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1"/>
      </w:sdtPr>
      <w:sdtContent>
        <w:p w:rsidR="00000000" w:rsidDel="00000000" w:rsidP="00000000" w:rsidRDefault="00000000" w:rsidRPr="00000000" w14:paraId="00000052">
          <w:pPr>
            <w:tabs>
              <w:tab w:val="left" w:pos="1590"/>
            </w:tabs>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REGISTRO CONTABLE</w:t>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3"/>
      </w:sdtPr>
      <w:sdtContent>
        <w:p w:rsidR="00000000" w:rsidDel="00000000" w:rsidP="00000000" w:rsidRDefault="00000000" w:rsidRPr="00000000" w14:paraId="00000054">
          <w:pPr>
            <w:tabs>
              <w:tab w:val="left" w:pos="1590"/>
            </w:tabs>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DB/GASTO </w:t>
          </w:r>
        </w:p>
      </w:sdtContent>
    </w:sdt>
    <w:sdt>
      <w:sdtPr>
        <w:tag w:val="goog_rdk_84"/>
      </w:sdtPr>
      <w:sdtContent>
        <w:p w:rsidR="00000000" w:rsidDel="00000000" w:rsidP="00000000" w:rsidRDefault="00000000" w:rsidRPr="00000000" w14:paraId="00000055">
          <w:pPr>
            <w:tabs>
              <w:tab w:val="left" w:pos="1590"/>
            </w:tabs>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CR/1330… con cédula del empleado</w:t>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saber cuál es la cuenta del crédito en  Apoteosys/tesorería/informes de tesorería/estado de cuenta y </w:t>
          </w:r>
          <w:r w:rsidDel="00000000" w:rsidR="00000000" w:rsidRPr="00000000">
            <w:rPr>
              <w:rFonts w:ascii="Arial" w:cs="Arial" w:eastAsia="Arial" w:hAnsi="Arial"/>
              <w:sz w:val="20"/>
              <w:szCs w:val="20"/>
              <w:rtl w:val="0"/>
            </w:rPr>
            <w:t xml:space="preserve">consultar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w:t>
          </w:r>
          <w:r w:rsidDel="00000000" w:rsidR="00000000" w:rsidRPr="00000000">
            <w:rPr>
              <w:rFonts w:ascii="Arial" w:cs="Arial" w:eastAsia="Arial" w:hAnsi="Arial"/>
              <w:sz w:val="20"/>
              <w:szCs w:val="20"/>
              <w:rtl w:val="0"/>
            </w:rPr>
            <w:t xml:space="preserve">cédula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empleado.</w:t>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sdtContent>
    </w:sdt>
    <w:sdt>
      <w:sdtPr>
        <w:tag w:val="goog_rdk_88"/>
      </w:sdtPr>
      <w:sdtContent>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cuentas contables para su aplicación son:</w:t>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CUENTA/</w:t>
            <w:tab/>
            <w:t xml:space="preserve">NOMBRE</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w:t>
            <w:tab/>
            <w:t xml:space="preserve">DEUDORES</w:t>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13300501 </w:t>
            <w:tab/>
            <w:t xml:space="preserve"> A PROVEEDORES </w:t>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13301001 </w:t>
            <w:tab/>
            <w:t xml:space="preserve"> A CONTRATISTAS </w:t>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13301501 </w:t>
            <w:tab/>
            <w:t xml:space="preserve"> ANTICIPO A TRABAJADORES </w:t>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13301504 </w:t>
            <w:tab/>
            <w:t xml:space="preserve"> ANTICIPO PLANES CORPORATIVOS </w:t>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13309501 </w:t>
            <w:tab/>
            <w:t xml:space="preserve"> OTROS ANTICIPOS </w:t>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sdtContent>
    </w:sdt>
    <w:sdt>
      <w:sdtPr>
        <w:tag w:val="goog_rdk_99"/>
      </w:sdtPr>
      <w:sdtContent>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los documentos que soportan el gasto son mayores a los que autorizaron se lleva el saldo restante a la cuenta (42950501)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aprovechamientos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el centro de utilidad del campus principal y con el tercero  Universidad de Manizales, en caso de presentarse una diferencia significativa desde la dirección del programa o proyecto remiten autorización para que se realice al trabajador el reintegro de este saldo.</w:t>
          </w: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1"/>
      </w:sdtPr>
      <w:sdtContent>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los documentos que soportan el gasto suman menos que el valor del anticipo se puede realizar un ajuste al peso hasta $1.000, sí la diferencia  supera este monto el empleado debe realizar el respectivo reintegro por tesorería.</w:t>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Conciliación de cuentas de Anticipos y presentación de informes</w:t>
          </w:r>
        </w:p>
      </w:sdtContent>
    </w:sdt>
    <w:sdt>
      <w:sdtPr>
        <w:tag w:val="goog_rdk_104"/>
      </w:sdtPr>
      <w:sdtContent>
        <w:p w:rsidR="00000000" w:rsidDel="00000000" w:rsidP="00000000" w:rsidRDefault="00000000" w:rsidRPr="00000000" w14:paraId="00000069">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Cuentas</w:t>
          </w:r>
        </w:p>
      </w:sdtContent>
    </w:sdt>
    <w:tbl>
      <w:tblPr>
        <w:tblStyle w:val="Table4"/>
        <w:tblW w:w="4548.0" w:type="dxa"/>
        <w:jc w:val="center"/>
        <w:tblLayout w:type="fixed"/>
        <w:tblLook w:val="0400"/>
      </w:tblPr>
      <w:tblGrid>
        <w:gridCol w:w="1200"/>
        <w:gridCol w:w="3348"/>
        <w:tblGridChange w:id="0">
          <w:tblGrid>
            <w:gridCol w:w="1200"/>
            <w:gridCol w:w="334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06"/>
            </w:sdtPr>
            <w:sdtContent>
              <w:p w:rsidR="00000000" w:rsidDel="00000000" w:rsidP="00000000" w:rsidRDefault="00000000" w:rsidRPr="00000000" w14:paraId="0000006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13300501</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107"/>
            </w:sdtPr>
            <w:sdtContent>
              <w:p w:rsidR="00000000" w:rsidDel="00000000" w:rsidP="00000000" w:rsidRDefault="00000000" w:rsidRPr="00000000" w14:paraId="0000006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PROVEEDORES</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108"/>
            </w:sdtPr>
            <w:sdtContent>
              <w:p w:rsidR="00000000" w:rsidDel="00000000" w:rsidP="00000000" w:rsidRDefault="00000000" w:rsidRPr="00000000" w14:paraId="0000006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13301001</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09"/>
            </w:sdtPr>
            <w:sdtContent>
              <w:p w:rsidR="00000000" w:rsidDel="00000000" w:rsidP="00000000" w:rsidRDefault="00000000" w:rsidRPr="00000000" w14:paraId="0000006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CONTRATISTAS</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110"/>
            </w:sdtPr>
            <w:sdtContent>
              <w:p w:rsidR="00000000" w:rsidDel="00000000" w:rsidP="00000000" w:rsidRDefault="00000000" w:rsidRPr="00000000" w14:paraId="0000006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13301501</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11"/>
            </w:sdtPr>
            <w:sdtContent>
              <w:p w:rsidR="00000000" w:rsidDel="00000000" w:rsidP="00000000" w:rsidRDefault="00000000" w:rsidRPr="00000000" w14:paraId="0000007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ANTICIPO A TRABAJADORES</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112"/>
            </w:sdtPr>
            <w:sdtContent>
              <w:p w:rsidR="00000000" w:rsidDel="00000000" w:rsidP="00000000" w:rsidRDefault="00000000" w:rsidRPr="00000000" w14:paraId="0000007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13301502</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13"/>
            </w:sdtPr>
            <w:sdtContent>
              <w:p w:rsidR="00000000" w:rsidDel="00000000" w:rsidP="00000000" w:rsidRDefault="00000000" w:rsidRPr="00000000" w14:paraId="0000007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ANTICIPOS GASTOS DE VIAJE</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114"/>
            </w:sdtPr>
            <w:sdtContent>
              <w:p w:rsidR="00000000" w:rsidDel="00000000" w:rsidP="00000000" w:rsidRDefault="00000000" w:rsidRPr="00000000" w14:paraId="0000007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13309501</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15"/>
            </w:sdtPr>
            <w:sdtContent>
              <w:p w:rsidR="00000000" w:rsidDel="00000000" w:rsidP="00000000" w:rsidRDefault="00000000" w:rsidRPr="00000000" w14:paraId="0000007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OTROS ANTICIPOS</w:t>
                </w:r>
              </w:p>
            </w:sdtContent>
          </w:sdt>
        </w:tc>
      </w:tr>
    </w:tbl>
    <w:sdt>
      <w:sdtPr>
        <w:tag w:val="goog_rdk_116"/>
      </w:sdtPr>
      <w:sdtContent>
        <w:p w:rsidR="00000000" w:rsidDel="00000000" w:rsidP="00000000" w:rsidRDefault="00000000" w:rsidRPr="00000000" w14:paraId="00000075">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17"/>
      </w:sdtPr>
      <w:sdtContent>
        <w:p w:rsidR="00000000" w:rsidDel="00000000" w:rsidP="00000000" w:rsidRDefault="00000000" w:rsidRPr="00000000" w14:paraId="00000076">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 obtener el listado de las personas que tienen anticipo hasta la fecha se procede así:</w:t>
          </w:r>
        </w:p>
      </w:sdtContent>
    </w:sdt>
    <w:sdt>
      <w:sdtPr>
        <w:tag w:val="goog_rdk_118"/>
      </w:sdtPr>
      <w:sdtContent>
        <w:p w:rsidR="00000000" w:rsidDel="00000000" w:rsidP="00000000" w:rsidRDefault="00000000" w:rsidRPr="00000000" w14:paraId="00000077">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19"/>
      </w:sdtPr>
      <w:sdtContent>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Ruta: Sistema financiero/ Contabilidad / Informes contables/ saldo y movimiento por cuenta</w:t>
          </w:r>
        </w:p>
      </w:sdtContent>
    </w:sdt>
    <w:sdt>
      <w:sdtPr>
        <w:tag w:val="goog_rdk_120"/>
      </w:sdtPr>
      <w:sdtContent>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ingresamos a saldos y movimientos por cuenta se ubica en la casilla de Núm. y damos F2 para editar, en tipo se escribe la letra C, en código se escribe el número de cuenta que se desea consultar en este caso la 1330 y en nivel es 5.</w:t>
          </w:r>
        </w:p>
      </w:sdtContent>
    </w:sdt>
    <w:sdt>
      <w:sdtPr>
        <w:tag w:val="goog_rdk_121"/>
      </w:sdtPr>
      <w:sdtContent>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campo de siguiente de la pantalla de dialogo se selecciona Saldos y terceros</w:t>
          </w:r>
        </w:p>
      </w:sdtContent>
    </w:sdt>
    <w:sdt>
      <w:sdtPr>
        <w:tag w:val="goog_rdk_122"/>
      </w:sdtPr>
      <w:sdtContent>
        <w:p w:rsidR="00000000" w:rsidDel="00000000" w:rsidP="00000000" w:rsidRDefault="00000000" w:rsidRPr="00000000" w14:paraId="0000007B">
          <w:pPr>
            <w:spacing w:after="0" w:line="240" w:lineRule="auto"/>
            <w:jc w:val="both"/>
            <w:rPr>
              <w:rFonts w:ascii="Arial" w:cs="Arial" w:eastAsia="Arial" w:hAnsi="Arial"/>
              <w:sz w:val="20"/>
              <w:szCs w:val="20"/>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w:t>
          </w:r>
          <w:r w:rsidDel="00000000" w:rsidR="00000000" w:rsidRPr="00000000">
            <w:rPr>
              <w:rFonts w:ascii="Arial" w:cs="Arial" w:eastAsia="Arial" w:hAnsi="Arial"/>
              <w:sz w:val="20"/>
              <w:szCs w:val="20"/>
              <w:rtl w:val="0"/>
            </w:rPr>
            <w:t xml:space="preserve"> el reporte se debe sacar con corte al último día del mes.</w:t>
          </w:r>
        </w:p>
      </w:sdtContent>
    </w:sdt>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47577" cy="3174098"/>
                <wp:effectExtent b="0" l="0" r="0" t="0"/>
                <wp:docPr id="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47577" cy="3174098"/>
                        </a:xfrm>
                        <a:prstGeom prst="rect"/>
                        <a:ln/>
                      </pic:spPr>
                    </pic:pic>
                  </a:graphicData>
                </a:graphic>
              </wp:inline>
            </w:drawing>
          </w:r>
          <w:r w:rsidDel="00000000" w:rsidR="00000000" w:rsidRPr="00000000">
            <w:rPr>
              <w:rtl w:val="0"/>
            </w:rPr>
          </w:r>
        </w:p>
      </w:sdtContent>
    </w:sdt>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26"/>
      </w:sdtPr>
      <w:sdtContent>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Cuando  se genera el movimiento (Ctrl + G)</w:t>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 el listado de todas las cuentas y de los terceros con el valor que adeudan a la fecha, se guarda dando clic en el símbolo XL y se archiva en la siguiente ruta:</w:t>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26682" cy="331852"/>
                <wp:effectExtent b="0" l="0" r="0" t="0"/>
                <wp:docPr id="21" name="image4.png"/>
                <a:graphic>
                  <a:graphicData uri="http://schemas.openxmlformats.org/drawingml/2006/picture">
                    <pic:pic>
                      <pic:nvPicPr>
                        <pic:cNvPr id="0" name="image4.png"/>
                        <pic:cNvPicPr preferRelativeResize="0"/>
                      </pic:nvPicPr>
                      <pic:blipFill>
                        <a:blip r:embed="rId12"/>
                        <a:srcRect b="88535" l="7976" r="49253" t="6369"/>
                        <a:stretch>
                          <a:fillRect/>
                        </a:stretch>
                      </pic:blipFill>
                      <pic:spPr>
                        <a:xfrm>
                          <a:off x="0" y="0"/>
                          <a:ext cx="5226682" cy="331852"/>
                        </a:xfrm>
                        <a:prstGeom prst="rect"/>
                        <a:ln/>
                      </pic:spPr>
                    </pic:pic>
                  </a:graphicData>
                </a:graphic>
              </wp:inline>
            </w:drawing>
          </w:r>
          <w:r w:rsidDel="00000000" w:rsidR="00000000" w:rsidRPr="00000000">
            <w:rPr>
              <w:rtl w:val="0"/>
            </w:rPr>
          </w:r>
        </w:p>
      </w:sdtContent>
    </w:sdt>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Bajo el siguiente esquema guardar primero el año, guion y el mes que se está conciliando, junto con el nombre del informe, ejemplo: 2017-09 informe anticipos.</w:t>
          </w:r>
        </w:p>
      </w:sdtContent>
    </w:sdt>
    <w:sdt>
      <w:sdtPr>
        <w:tag w:val="goog_rdk_131"/>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47078" cy="2172382"/>
                <wp:effectExtent b="0" l="0" r="0" t="0"/>
                <wp:docPr id="24" name="image5.png"/>
                <a:graphic>
                  <a:graphicData uri="http://schemas.openxmlformats.org/drawingml/2006/picture">
                    <pic:pic>
                      <pic:nvPicPr>
                        <pic:cNvPr id="0" name="image5.png"/>
                        <pic:cNvPicPr preferRelativeResize="0"/>
                      </pic:nvPicPr>
                      <pic:blipFill>
                        <a:blip r:embed="rId13"/>
                        <a:srcRect b="0" l="0" r="57570" t="0"/>
                        <a:stretch>
                          <a:fillRect/>
                        </a:stretch>
                      </pic:blipFill>
                      <pic:spPr>
                        <a:xfrm>
                          <a:off x="0" y="0"/>
                          <a:ext cx="3747078" cy="2172382"/>
                        </a:xfrm>
                        <a:prstGeom prst="rect"/>
                        <a:ln/>
                      </pic:spPr>
                    </pic:pic>
                  </a:graphicData>
                </a:graphic>
              </wp:inline>
            </w:drawing>
          </w:r>
          <w:r w:rsidDel="00000000" w:rsidR="00000000" w:rsidRPr="00000000">
            <w:rPr>
              <w:rtl w:val="0"/>
            </w:rPr>
          </w:r>
        </w:p>
      </w:sdtContent>
    </w:sdt>
    <w:sdt>
      <w:sdtPr>
        <w:tag w:val="goog_rdk_133"/>
      </w:sdtPr>
      <w:sdtContent>
        <w:p w:rsidR="00000000" w:rsidDel="00000000" w:rsidP="00000000" w:rsidRDefault="00000000" w:rsidRPr="00000000" w14:paraId="00000086">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34"/>
      </w:sdtPr>
      <w:sdtContent>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35"/>
      </w:sdtPr>
      <w:sdtConten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realiza seguimiento de cobro de saldo pendientes por legalizar a través de correo electrónico y llamadas telefónicas a los empleados.</w:t>
          </w:r>
        </w:p>
      </w:sdtContent>
    </w:sdt>
    <w:sdt>
      <w:sdtPr>
        <w:tag w:val="goog_rdk_137"/>
      </w:sdtPr>
      <w:sdtContent>
        <w:p w:rsidR="00000000" w:rsidDel="00000000" w:rsidP="00000000" w:rsidRDefault="00000000" w:rsidRPr="00000000" w14:paraId="0000008A">
          <w:pPr>
            <w:spacing w:after="0" w:line="240" w:lineRule="auto"/>
            <w:jc w:val="both"/>
            <w:rPr>
              <w:rFonts w:ascii="Arial" w:cs="Arial" w:eastAsia="Arial" w:hAnsi="Arial"/>
              <w:sz w:val="20"/>
              <w:szCs w:val="20"/>
            </w:rPr>
          </w:pPr>
          <w:r w:rsidDel="00000000" w:rsidR="00000000" w:rsidRPr="00000000">
            <w:rPr>
              <w:rtl w:val="0"/>
            </w:rPr>
          </w:r>
        </w:p>
      </w:sdtContent>
    </w:sdt>
    <w:sdt>
      <w:sdtPr>
        <w:tag w:val="goog_rdk_138"/>
      </w:sdtPr>
      <w:sdtContent>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mensual de saldos a dirigido  al Contador antes de los 10 primeros días de cada mes, el informe debe contener la siguiente información:</w:t>
          </w:r>
        </w:p>
      </w:sdtContent>
    </w:sdt>
    <w:sdt>
      <w:sdtPr>
        <w:tag w:val="goog_rdk_139"/>
      </w:sdtPr>
      <w:sdtContent>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Cuenta </w:t>
          </w:r>
        </w:p>
      </w:sdtContent>
    </w:sdt>
    <w:sdt>
      <w:sdtPr>
        <w:tag w:val="goog_rdk_140"/>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Cedula o Nit</w:t>
          </w:r>
        </w:p>
      </w:sdtContent>
    </w:sdt>
    <w:sdt>
      <w:sdtPr>
        <w:tag w:val="goog_rdk_141"/>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Completo </w:t>
          </w:r>
        </w:p>
      </w:sdtContent>
    </w:sdt>
    <w:sdt>
      <w:sdtPr>
        <w:tag w:val="goog_rdk_142"/>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de registro del anticipo</w:t>
          </w:r>
        </w:p>
      </w:sdtContent>
    </w:sdt>
    <w:sdt>
      <w:sdtPr>
        <w:tag w:val="goog_rdk_143"/>
      </w:sdtPr>
      <w:sdtConten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Días de vencido</w:t>
          </w:r>
        </w:p>
      </w:sdtContent>
    </w:sdt>
    <w:sdt>
      <w:sdtPr>
        <w:tag w:val="goog_rdk_144"/>
      </w:sdtPr>
      <w:sdtContent>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Saldo Final ($)</w:t>
          </w:r>
        </w:p>
      </w:sdtContent>
    </w:sdt>
    <w:sdt>
      <w:sdtPr>
        <w:tag w:val="goog_rdk_145"/>
      </w:sdtPr>
      <w:sdtContent>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w:t>
          </w:r>
        </w:p>
      </w:sdtContent>
    </w:sdt>
    <w:sdt>
      <w:sdtPr>
        <w:tag w:val="goog_rdk_146"/>
      </w:sdtPr>
      <w:sdtContent>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Observaciones (Debe incluir las gestiones realizadas y las novedades)</w:t>
          </w:r>
        </w:p>
      </w:sdtContent>
    </w:sdt>
    <w:sdt>
      <w:sdtPr>
        <w:tag w:val="goog_rdk_147"/>
      </w:sdtPr>
      <w:sdtContent>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48"/>
      </w:sdtPr>
      <w:sdtConten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43525" cy="2419350"/>
                <wp:effectExtent b="0" l="0" r="0" t="0"/>
                <wp:docPr id="23" name="image7.png"/>
                <a:graphic>
                  <a:graphicData uri="http://schemas.openxmlformats.org/drawingml/2006/picture">
                    <pic:pic>
                      <pic:nvPicPr>
                        <pic:cNvPr id="0" name="image7.png"/>
                        <pic:cNvPicPr preferRelativeResize="0"/>
                      </pic:nvPicPr>
                      <pic:blipFill>
                        <a:blip r:embed="rId14"/>
                        <a:srcRect b="4872" l="1697" r="3088" t="28349"/>
                        <a:stretch>
                          <a:fillRect/>
                        </a:stretch>
                      </pic:blipFill>
                      <pic:spPr>
                        <a:xfrm>
                          <a:off x="0" y="0"/>
                          <a:ext cx="5343525" cy="2419350"/>
                        </a:xfrm>
                        <a:prstGeom prst="rect"/>
                        <a:ln/>
                      </pic:spPr>
                    </pic:pic>
                  </a:graphicData>
                </a:graphic>
              </wp:inline>
            </w:drawing>
          </w:r>
          <w:r w:rsidDel="00000000" w:rsidR="00000000" w:rsidRPr="00000000">
            <w:rPr>
              <w:rtl w:val="0"/>
            </w:rPr>
          </w:r>
        </w:p>
      </w:sdtContent>
    </w:sdt>
    <w:sdt>
      <w:sdtPr>
        <w:tag w:val="goog_rdk_149"/>
      </w:sdtPr>
      <w:sdtContent>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0"/>
      </w:sdtPr>
      <w:sdtContent>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Reporta para descuento de nómina los anticipos que no fueron legalizados dentro de las fechas establecidas, adjuntando formato escaneado firmado  por el empleado que recibe el anticipo, dicho formato debe contener la nota de autorización para descontar por nómina en caso de no legalizar el anticipo dentro de los siguientes 15 días hábiles, este paso debe contar la autorización del contador.</w:t>
          </w:r>
        </w:p>
      </w:sdtContent>
    </w:sdt>
    <w:sdt>
      <w:sdtPr>
        <w:tag w:val="goog_rdk_151"/>
      </w:sdtPr>
      <w:sdtContent>
        <w:p w:rsidR="00000000" w:rsidDel="00000000" w:rsidP="00000000" w:rsidRDefault="00000000" w:rsidRPr="00000000" w14:paraId="00000098">
          <w:pPr>
            <w:spacing w:after="0" w:line="240" w:lineRule="auto"/>
            <w:ind w:left="360"/>
            <w:jc w:val="both"/>
            <w:rPr>
              <w:rFonts w:ascii="Arial" w:cs="Arial" w:eastAsia="Arial" w:hAnsi="Arial"/>
              <w:sz w:val="20"/>
              <w:szCs w:val="20"/>
            </w:rPr>
          </w:pPr>
          <w:r w:rsidDel="00000000" w:rsidR="00000000" w:rsidRPr="00000000">
            <w:rPr>
              <w:rtl w:val="0"/>
            </w:rPr>
          </w:r>
        </w:p>
      </w:sdtContent>
    </w:sdt>
    <w:sdt>
      <w:sdtPr>
        <w:tag w:val="goog_rdk_152"/>
      </w:sdtPr>
      <w:sdtContent>
        <w:p w:rsidR="00000000" w:rsidDel="00000000" w:rsidP="00000000" w:rsidRDefault="00000000" w:rsidRPr="00000000" w14:paraId="00000099">
          <w:pPr>
            <w:spacing w:after="0" w:line="240" w:lineRule="auto"/>
            <w:ind w:left="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El informe se debe enviar al contador, los 10 primeros días del mes.</w:t>
          </w:r>
        </w:p>
      </w:sdtContent>
    </w:sdt>
    <w:sdt>
      <w:sdtPr>
        <w:tag w:val="goog_rdk_153"/>
      </w:sdtPr>
      <w:sdtContent>
        <w:p w:rsidR="00000000" w:rsidDel="00000000" w:rsidP="00000000" w:rsidRDefault="00000000" w:rsidRPr="00000000" w14:paraId="0000009A">
          <w:pPr>
            <w:spacing w:after="0" w:line="240" w:lineRule="auto"/>
            <w:ind w:left="360"/>
            <w:jc w:val="both"/>
            <w:rPr>
              <w:rFonts w:ascii="Arial" w:cs="Arial" w:eastAsia="Arial" w:hAnsi="Arial"/>
              <w:b w:val="1"/>
              <w:sz w:val="20"/>
              <w:szCs w:val="20"/>
            </w:rPr>
          </w:pPr>
          <w:r w:rsidDel="00000000" w:rsidR="00000000" w:rsidRPr="00000000">
            <w:rPr>
              <w:rtl w:val="0"/>
            </w:rPr>
          </w:r>
        </w:p>
      </w:sdtContent>
    </w:sdt>
    <w:sdt>
      <w:sdtPr>
        <w:tag w:val="goog_rdk_154"/>
      </w:sdtPr>
      <w:sdtContent>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archivar las legalizaciones se consulta el módulo movimiento por documento o fecha</w:t>
          </w:r>
        </w:p>
      </w:sdtContent>
    </w:sdt>
    <w:sdt>
      <w:sdtPr>
        <w:tag w:val="goog_rdk_155"/>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Ruta: sistema financiero/ Informes contables/ movimiento por documento o fecha</w:t>
          </w:r>
        </w:p>
      </w:sdtContent>
    </w:sdt>
    <w:sdt>
      <w:sdtPr>
        <w:tag w:val="goog_rdk_156"/>
      </w:sdtPr>
      <w:sdtContent>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fecha inicial se coloca la primera del mes y la final el último día del mes y la consulta se hace por comprobante, Tipo de comprobante es LG01, de acuerdo a esta consulta se realiza el archivo de las legalizaciones realizadas. </w:t>
          </w:r>
        </w:p>
      </w:sdtContent>
    </w:sdt>
    <w:sdt>
      <w:sdtPr>
        <w:tag w:val="goog_rdk_158"/>
      </w:sdtPr>
      <w:sdtContent>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9"/>
      </w:sdtPr>
      <w:sdtConten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60"/>
      </w:sdtPr>
      <w:sdtContent>
        <w:p w:rsidR="00000000" w:rsidDel="00000000" w:rsidP="00000000" w:rsidRDefault="00000000" w:rsidRPr="00000000" w14:paraId="000000A1">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DOCUMENTOS Y FORMATOS ASOCIADOS:</w:t>
          </w:r>
        </w:p>
      </w:sdtContent>
    </w:sdt>
    <w:sdt>
      <w:sdtPr>
        <w:tag w:val="goog_rdk_161"/>
      </w:sdtPr>
      <w:sdtContent>
        <w:p w:rsidR="00000000" w:rsidDel="00000000" w:rsidP="00000000" w:rsidRDefault="00000000" w:rsidRPr="00000000" w14:paraId="000000A2">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62"/>
      </w:sdtPr>
      <w:sdtContent>
        <w:p w:rsidR="00000000" w:rsidDel="00000000" w:rsidP="00000000" w:rsidRDefault="00000000" w:rsidRPr="00000000" w14:paraId="000000A3">
          <w:pPr>
            <w:spacing w:after="0" w:line="240" w:lineRule="auto"/>
            <w:jc w:val="both"/>
            <w:rPr>
              <w:rFonts w:ascii="Arial" w:cs="Arial" w:eastAsia="Arial" w:hAnsi="Arial"/>
              <w:b w:val="1"/>
              <w:sz w:val="20"/>
              <w:szCs w:val="20"/>
            </w:rPr>
          </w:pPr>
          <w:r w:rsidDel="00000000" w:rsidR="00000000" w:rsidRPr="00000000">
            <w:rPr>
              <w:rtl w:val="0"/>
            </w:rPr>
          </w:r>
        </w:p>
      </w:sdtContent>
    </w:sdt>
    <w:tbl>
      <w:tblPr>
        <w:tblStyle w:val="Table5"/>
        <w:tblW w:w="8190.0" w:type="dxa"/>
        <w:jc w:val="left"/>
        <w:tblInd w:w="14.00000000000008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35"/>
        <w:gridCol w:w="1755"/>
        <w:tblGridChange w:id="0">
          <w:tblGrid>
            <w:gridCol w:w="6435"/>
            <w:gridCol w:w="1755"/>
          </w:tblGrid>
        </w:tblGridChange>
      </w:tblGrid>
      <w:tr>
        <w:trPr>
          <w:trHeight w:val="500" w:hRule="atLeast"/>
        </w:trPr>
        <w:tc>
          <w:tcPr/>
          <w:sdt>
            <w:sdtPr>
              <w:tag w:val="goog_rdk_163"/>
            </w:sdtPr>
            <w:sdtContent>
              <w:p w:rsidR="00000000" w:rsidDel="00000000" w:rsidP="00000000" w:rsidRDefault="00000000" w:rsidRPr="00000000" w14:paraId="000000A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DOCUMENTO</w:t>
                </w:r>
              </w:p>
            </w:sdtContent>
          </w:sdt>
        </w:tc>
        <w:tc>
          <w:tcPr/>
          <w:sdt>
            <w:sdtPr>
              <w:tag w:val="goog_rdk_164"/>
            </w:sdtPr>
            <w:sdtContent>
              <w:p w:rsidR="00000000" w:rsidDel="00000000" w:rsidP="00000000" w:rsidRDefault="00000000" w:rsidRPr="00000000" w14:paraId="000000A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r>
      <w:tr>
        <w:trPr>
          <w:trHeight w:val="240" w:hRule="atLeast"/>
        </w:trPr>
        <w:tc>
          <w:tcPr/>
          <w:sdt>
            <w:sdtPr>
              <w:tag w:val="goog_rdk_165"/>
            </w:sdtPr>
            <w:sdtContent>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Instructivo Anticipos</w:t>
                </w:r>
              </w:p>
            </w:sdtContent>
          </w:sdt>
        </w:tc>
        <w:tc>
          <w:tcPr/>
          <w:sdt>
            <w:sdtPr>
              <w:tag w:val="goog_rdk_166"/>
            </w:sdtPr>
            <w:sdtContent>
              <w:p w:rsidR="00000000" w:rsidDel="00000000" w:rsidP="00000000" w:rsidRDefault="00000000" w:rsidRPr="00000000" w14:paraId="000000A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GF-IT-001</w:t>
                </w:r>
              </w:p>
            </w:sdtContent>
          </w:sdt>
        </w:tc>
      </w:tr>
      <w:tr>
        <w:trPr>
          <w:trHeight w:val="240" w:hRule="atLeast"/>
        </w:trPr>
        <w:tc>
          <w:tcPr/>
          <w:sdt>
            <w:sdtPr>
              <w:tag w:val="goog_rdk_167"/>
            </w:sdtPr>
            <w:sdtContent>
              <w:p w:rsidR="00000000" w:rsidDel="00000000" w:rsidP="00000000" w:rsidRDefault="00000000" w:rsidRPr="00000000" w14:paraId="000000A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Legalización de Anticipo</w:t>
                </w:r>
              </w:p>
            </w:sdtContent>
          </w:sdt>
        </w:tc>
        <w:tc>
          <w:tcPr/>
          <w:sdt>
            <w:sdtPr>
              <w:tag w:val="goog_rdk_168"/>
            </w:sdtPr>
            <w:sdtContent>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GF-FOR-001</w:t>
                </w:r>
              </w:p>
            </w:sdtContent>
          </w:sdt>
        </w:tc>
      </w:tr>
      <w:tr>
        <w:trPr>
          <w:trHeight w:val="240" w:hRule="atLeast"/>
        </w:trPr>
        <w:tc>
          <w:tcPr/>
          <w:sdt>
            <w:sdtPr>
              <w:tag w:val="goog_rdk_169"/>
            </w:sdtPr>
            <w:sdtContent>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Pagos menores</w:t>
                </w:r>
              </w:p>
            </w:sdtContent>
          </w:sdt>
        </w:tc>
        <w:tc>
          <w:tcPr/>
          <w:sdt>
            <w:sdtPr>
              <w:tag w:val="goog_rdk_170"/>
            </w:sdtPr>
            <w:sdtContent>
              <w:p w:rsidR="00000000" w:rsidDel="00000000" w:rsidP="00000000" w:rsidRDefault="00000000" w:rsidRPr="00000000" w14:paraId="000000A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GF-FOR-002</w:t>
                </w:r>
              </w:p>
            </w:sdtContent>
          </w:sdt>
        </w:tc>
      </w:tr>
    </w:tbl>
    <w:sdt>
      <w:sdtPr>
        <w:tag w:val="goog_rdk_171"/>
      </w:sdtPr>
      <w:sdtContent>
        <w:p w:rsidR="00000000" w:rsidDel="00000000" w:rsidP="00000000" w:rsidRDefault="00000000" w:rsidRPr="00000000" w14:paraId="000000AC">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72"/>
      </w:sdtPr>
      <w:sdtContent>
        <w:p w:rsidR="00000000" w:rsidDel="00000000" w:rsidP="00000000" w:rsidRDefault="00000000" w:rsidRPr="00000000" w14:paraId="000000AD">
          <w:pPr>
            <w:ind w:left="0" w:firstLine="0"/>
            <w:jc w:val="both"/>
            <w:rPr>
              <w:rFonts w:ascii="Arial" w:cs="Arial" w:eastAsia="Arial" w:hAnsi="Arial"/>
              <w:sz w:val="20"/>
              <w:szCs w:val="20"/>
            </w:rPr>
          </w:pPr>
          <w:r w:rsidDel="00000000" w:rsidR="00000000" w:rsidRPr="00000000">
            <w:rPr>
              <w:rtl w:val="0"/>
            </w:rPr>
          </w:r>
        </w:p>
      </w:sdtContent>
    </w:sdt>
    <w:sectPr>
      <w:headerReference r:id="rId15" w:type="default"/>
      <w:footerReference r:id="rId16" w:type="default"/>
      <w:pgSz w:h="15840" w:w="12240"/>
      <w:pgMar w:bottom="1418" w:top="718"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97"/>
    </w:sdtPr>
    <w:sdtContent>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98"/>
    </w:sdtPr>
    <w:sdtContent>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3"/>
    </w:sdtPr>
    <w:sdtContent>
      <w:p w:rsidR="00000000" w:rsidDel="00000000" w:rsidP="00000000" w:rsidRDefault="00000000" w:rsidRPr="00000000" w14:paraId="000000AE">
        <w:pPr>
          <w:widowControl w:val="0"/>
          <w:spacing w:after="0" w:lineRule="auto"/>
          <w:rPr>
            <w:rFonts w:ascii="Arial" w:cs="Arial" w:eastAsia="Arial" w:hAnsi="Arial"/>
            <w:sz w:val="18"/>
            <w:szCs w:val="18"/>
          </w:rPr>
        </w:pPr>
        <w:r w:rsidDel="00000000" w:rsidR="00000000" w:rsidRPr="00000000">
          <w:rPr>
            <w:rtl w:val="0"/>
          </w:rPr>
        </w:r>
      </w:p>
    </w:sdtContent>
  </w:sdt>
  <w:tbl>
    <w:tblPr>
      <w:tblStyle w:val="Table6"/>
      <w:tblW w:w="9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590"/>
      <w:tblGridChange w:id="0">
        <w:tblGrid>
          <w:gridCol w:w="1605"/>
          <w:gridCol w:w="3795"/>
          <w:gridCol w:w="1695"/>
          <w:gridCol w:w="1110"/>
          <w:gridCol w:w="1590"/>
        </w:tblGrid>
      </w:tblGridChange>
    </w:tblGrid>
    <w:tr>
      <w:trPr>
        <w:trHeight w:val="360" w:hRule="atLeast"/>
      </w:trPr>
      <w:tc>
        <w:tcPr>
          <w:vMerge w:val="restart"/>
        </w:tcPr>
        <w:sdt>
          <w:sdtPr>
            <w:tag w:val="goog_rdk_174"/>
          </w:sdtPr>
          <w:sdtContent>
            <w:p w:rsidR="00000000" w:rsidDel="00000000" w:rsidP="00000000" w:rsidRDefault="00000000" w:rsidRPr="00000000" w14:paraId="000000AF">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6"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75"/>
          </w:sdtPr>
          <w:sdtContent>
            <w:p w:rsidR="00000000" w:rsidDel="00000000" w:rsidP="00000000" w:rsidRDefault="00000000" w:rsidRPr="00000000" w14:paraId="000000B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176"/>
          </w:sdtPr>
          <w:sdtContent>
            <w:p w:rsidR="00000000" w:rsidDel="00000000" w:rsidP="00000000" w:rsidRDefault="00000000" w:rsidRPr="00000000" w14:paraId="000000B1">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177"/>
          </w:sdtPr>
          <w:sdtContent>
            <w:p w:rsidR="00000000" w:rsidDel="00000000" w:rsidP="00000000" w:rsidRDefault="00000000" w:rsidRPr="00000000" w14:paraId="000000B2">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 PARA LA LEGALIZACIÓN DE ANTICIPOS</w:t>
              </w:r>
            </w:p>
          </w:sdtContent>
        </w:sdt>
      </w:tc>
      <w:tc>
        <w:tcPr>
          <w:vMerge w:val="restart"/>
        </w:tcPr>
        <w:sdt>
          <w:sdtPr>
            <w:tag w:val="goog_rdk_178"/>
          </w:sdtPr>
          <w:sdtContent>
            <w:p w:rsidR="00000000" w:rsidDel="00000000" w:rsidP="00000000" w:rsidRDefault="00000000" w:rsidRPr="00000000" w14:paraId="000000B3">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1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79"/>
          </w:sdtPr>
          <w:sdtContent>
            <w:p w:rsidR="00000000" w:rsidDel="00000000" w:rsidP="00000000" w:rsidRDefault="00000000" w:rsidRPr="00000000" w14:paraId="000000B4">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80"/>
          </w:sdtPr>
          <w:sdtContent>
            <w:p w:rsidR="00000000" w:rsidDel="00000000" w:rsidP="00000000" w:rsidRDefault="00000000" w:rsidRPr="00000000" w14:paraId="000000B5">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GF-IT-001</w:t>
              </w:r>
            </w:p>
          </w:sdtContent>
        </w:sdt>
      </w:tc>
    </w:tr>
    <w:tr>
      <w:trPr>
        <w:trHeight w:val="380" w:hRule="atLeast"/>
      </w:trPr>
      <w:tc>
        <w:tcPr>
          <w:vMerge w:val="continue"/>
        </w:tcPr>
        <w:sdt>
          <w:sdtPr>
            <w:tag w:val="goog_rdk_181"/>
          </w:sdtPr>
          <w:sdtContent>
            <w:p w:rsidR="00000000" w:rsidDel="00000000" w:rsidP="00000000" w:rsidRDefault="00000000" w:rsidRPr="00000000" w14:paraId="000000B6">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82"/>
          </w:sdtPr>
          <w:sdtContent>
            <w:p w:rsidR="00000000" w:rsidDel="00000000" w:rsidP="00000000" w:rsidRDefault="00000000" w:rsidRPr="00000000" w14:paraId="000000B7">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183"/>
          </w:sdtPr>
          <w:sdtContent>
            <w:p w:rsidR="00000000" w:rsidDel="00000000" w:rsidP="00000000" w:rsidRDefault="00000000" w:rsidRPr="00000000" w14:paraId="000000B8">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184"/>
          </w:sdtPr>
          <w:sdtContent>
            <w:p w:rsidR="00000000" w:rsidDel="00000000" w:rsidP="00000000" w:rsidRDefault="00000000" w:rsidRPr="00000000" w14:paraId="000000B9">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85"/>
          </w:sdtPr>
          <w:sdtContent>
            <w:p w:rsidR="00000000" w:rsidDel="00000000" w:rsidP="00000000" w:rsidRDefault="00000000" w:rsidRPr="00000000" w14:paraId="000000BA">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r>
    <w:tr>
      <w:trPr>
        <w:trHeight w:val="360" w:hRule="atLeast"/>
      </w:trPr>
      <w:tc>
        <w:tcPr>
          <w:vMerge w:val="continue"/>
        </w:tcPr>
        <w:sdt>
          <w:sdtPr>
            <w:tag w:val="goog_rdk_186"/>
          </w:sdtPr>
          <w:sdtContent>
            <w:p w:rsidR="00000000" w:rsidDel="00000000" w:rsidP="00000000" w:rsidRDefault="00000000" w:rsidRPr="00000000" w14:paraId="000000BB">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87"/>
          </w:sdtPr>
          <w:sdtContent>
            <w:p w:rsidR="00000000" w:rsidDel="00000000" w:rsidP="00000000" w:rsidRDefault="00000000" w:rsidRPr="00000000" w14:paraId="000000BC">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88"/>
          </w:sdtPr>
          <w:sdtContent>
            <w:p w:rsidR="00000000" w:rsidDel="00000000" w:rsidP="00000000" w:rsidRDefault="00000000" w:rsidRPr="00000000" w14:paraId="000000BD">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89"/>
          </w:sdtPr>
          <w:sdtContent>
            <w:p w:rsidR="00000000" w:rsidDel="00000000" w:rsidP="00000000" w:rsidRDefault="00000000" w:rsidRPr="00000000" w14:paraId="000000BE">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90"/>
          </w:sdtPr>
          <w:sdtContent>
            <w:p w:rsidR="00000000" w:rsidDel="00000000" w:rsidP="00000000" w:rsidRDefault="00000000" w:rsidRPr="00000000" w14:paraId="000000BF">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191"/>
          </w:sdtPr>
          <w:sdtContent>
            <w:p w:rsidR="00000000" w:rsidDel="00000000" w:rsidP="00000000" w:rsidRDefault="00000000" w:rsidRPr="00000000" w14:paraId="000000C0">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2"/>
          </w:sdtPr>
          <w:sdtContent>
            <w:p w:rsidR="00000000" w:rsidDel="00000000" w:rsidP="00000000" w:rsidRDefault="00000000" w:rsidRPr="00000000" w14:paraId="000000C1">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93"/>
          </w:sdtPr>
          <w:sdtContent>
            <w:p w:rsidR="00000000" w:rsidDel="00000000" w:rsidP="00000000" w:rsidRDefault="00000000" w:rsidRPr="00000000" w14:paraId="000000C2">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94"/>
          </w:sdtPr>
          <w:sdtContent>
            <w:p w:rsidR="00000000" w:rsidDel="00000000" w:rsidP="00000000" w:rsidRDefault="00000000" w:rsidRPr="00000000" w14:paraId="000000C3">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95"/>
          </w:sdtPr>
          <w:sdtContent>
            <w:p w:rsidR="00000000" w:rsidDel="00000000" w:rsidP="00000000" w:rsidRDefault="00000000" w:rsidRPr="00000000" w14:paraId="000000C4">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96"/>
    </w:sdtPr>
    <w:sdtContent>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3E41"/>
  </w:style>
  <w:style w:type="paragraph" w:styleId="Ttulo1">
    <w:name w:val="heading 1"/>
    <w:basedOn w:val="Normal"/>
    <w:link w:val="Ttulo1Car"/>
    <w:uiPriority w:val="9"/>
    <w:qFormat w:val="1"/>
    <w:rsid w:val="001F532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2480F"/>
    <w:pPr>
      <w:ind w:left="720"/>
      <w:contextualSpacing w:val="1"/>
    </w:pPr>
  </w:style>
  <w:style w:type="character" w:styleId="Hipervnculo">
    <w:name w:val="Hyperlink"/>
    <w:basedOn w:val="Fuentedeprrafopredeter"/>
    <w:uiPriority w:val="99"/>
    <w:unhideWhenUsed w:val="1"/>
    <w:rsid w:val="000456F9"/>
    <w:rPr>
      <w:color w:val="0000ff" w:themeColor="hyperlink"/>
      <w:u w:val="single"/>
    </w:rPr>
  </w:style>
  <w:style w:type="table" w:styleId="Tablaconcuadrcula">
    <w:name w:val="Table Grid"/>
    <w:basedOn w:val="Tablanormal"/>
    <w:uiPriority w:val="59"/>
    <w:rsid w:val="00046E4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BF70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F70D3"/>
    <w:rPr>
      <w:rFonts w:ascii="Tahoma" w:cs="Tahoma" w:hAnsi="Tahoma"/>
      <w:sz w:val="16"/>
      <w:szCs w:val="16"/>
    </w:rPr>
  </w:style>
  <w:style w:type="character" w:styleId="Ttulo1Car" w:customStyle="1">
    <w:name w:val="Título 1 Car"/>
    <w:basedOn w:val="Fuentedeprrafopredeter"/>
    <w:link w:val="Ttulo1"/>
    <w:uiPriority w:val="9"/>
    <w:rsid w:val="001F532C"/>
    <w:rPr>
      <w:rFonts w:ascii="Times New Roman" w:cs="Times New Roman" w:eastAsia="Times New Roman" w:hAnsi="Times New Roman"/>
      <w:b w:val="1"/>
      <w:bCs w:val="1"/>
      <w:kern w:val="36"/>
      <w:sz w:val="48"/>
      <w:szCs w:val="48"/>
      <w:lang w:eastAsia="es-CO" w:val="es-CO"/>
    </w:rPr>
  </w:style>
  <w:style w:type="character" w:styleId="hp" w:customStyle="1">
    <w:name w:val="hp"/>
    <w:basedOn w:val="Fuentedeprrafopredeter"/>
    <w:rsid w:val="001F532C"/>
  </w:style>
  <w:style w:type="character" w:styleId="j-j5-ji" w:customStyle="1">
    <w:name w:val="j-j5-ji"/>
    <w:basedOn w:val="Fuentedeprrafopredeter"/>
    <w:rsid w:val="001F532C"/>
  </w:style>
  <w:style w:type="character" w:styleId="ho" w:customStyle="1">
    <w:name w:val="ho"/>
    <w:basedOn w:val="Fuentedeprrafopredeter"/>
    <w:rsid w:val="001F532C"/>
  </w:style>
  <w:style w:type="character" w:styleId="gd" w:customStyle="1">
    <w:name w:val="gd"/>
    <w:basedOn w:val="Fuentedeprrafopredeter"/>
    <w:rsid w:val="001F532C"/>
  </w:style>
  <w:style w:type="character" w:styleId="g3" w:customStyle="1">
    <w:name w:val="g3"/>
    <w:basedOn w:val="Fuentedeprrafopredeter"/>
    <w:rsid w:val="001F532C"/>
  </w:style>
  <w:style w:type="character" w:styleId="hb" w:customStyle="1">
    <w:name w:val="hb"/>
    <w:basedOn w:val="Fuentedeprrafopredeter"/>
    <w:rsid w:val="001F532C"/>
  </w:style>
  <w:style w:type="character" w:styleId="g2" w:customStyle="1">
    <w:name w:val="g2"/>
    <w:basedOn w:val="Fuentedeprrafopredeter"/>
    <w:rsid w:val="001F532C"/>
  </w:style>
  <w:style w:type="paragraph" w:styleId="NormalWeb">
    <w:name w:val="Normal (Web)"/>
    <w:basedOn w:val="Normal"/>
    <w:uiPriority w:val="99"/>
    <w:unhideWhenUsed w:val="1"/>
    <w:rsid w:val="006A4612"/>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Hipervnculovisitado">
    <w:name w:val="FollowedHyperlink"/>
    <w:basedOn w:val="Fuentedeprrafopredeter"/>
    <w:uiPriority w:val="99"/>
    <w:semiHidden w:val="1"/>
    <w:unhideWhenUsed w:val="1"/>
    <w:rsid w:val="0083273A"/>
    <w:rPr>
      <w:color w:val="800080" w:themeColor="followedHyperlink"/>
      <w:u w:val="single"/>
    </w:rPr>
  </w:style>
  <w:style w:type="paragraph" w:styleId="Encabezado">
    <w:name w:val="header"/>
    <w:basedOn w:val="Normal"/>
    <w:link w:val="EncabezadoCar"/>
    <w:uiPriority w:val="99"/>
    <w:unhideWhenUsed w:val="1"/>
    <w:rsid w:val="00D01D9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01D94"/>
  </w:style>
  <w:style w:type="paragraph" w:styleId="Piedepgina">
    <w:name w:val="footer"/>
    <w:basedOn w:val="Normal"/>
    <w:link w:val="PiedepginaCar"/>
    <w:uiPriority w:val="99"/>
    <w:unhideWhenUsed w:val="1"/>
    <w:rsid w:val="00D01D9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01D9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MhvR9eBAmt3Q6ZGX0pMJ5kwLNg==">AMUW2mVRPAzfGwuwC90iVLlnxtmov9tRuQdFgKDPzyUNJzGm3abZGwJ4xdjk0kAorFq0rtjTOYngXF+bNrNJ3luq9RTKrGRd3YcXy36gziUFmewSVFccQiJrofILGsVksbsIlPeFzYEU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2018-09-25T23:29:00Z</dcterms:created>
  <dc:creator>thumano1</dc:creator>
</cp:coreProperties>
</file>