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rFonts w:ascii="Arial" w:cs="Arial" w:eastAsia="Arial" w:hAnsi="Arial"/>
              <w:sz w:val="18"/>
              <w:szCs w:val="18"/>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EL REGISTRO Y EVALUACIÓN DE PROVEEDORES</w:t>
          </w:r>
        </w:p>
      </w:sdtContent>
    </w:sdt>
    <w:sdt>
      <w:sdtPr>
        <w:tag w:val="goog_rdk_7"/>
      </w:sdtPr>
      <w:sdtContent>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tbl>
      <w:tblPr>
        <w:tblStyle w:val="Table1"/>
        <w:tblW w:w="1063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1"/>
        <w:gridCol w:w="7884"/>
        <w:tblGridChange w:id="0">
          <w:tblGrid>
            <w:gridCol w:w="2751"/>
            <w:gridCol w:w="7884"/>
          </w:tblGrid>
        </w:tblGridChange>
      </w:tblGrid>
      <w:tr>
        <w:trPr>
          <w:trHeight w:val="580" w:hRule="atLeast"/>
        </w:trPr>
        <w:tc>
          <w:tcPr>
            <w:shd w:fill="auto" w:val="clear"/>
          </w:tcPr>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c>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r>
      <w:tr>
        <w:trPr>
          <w:trHeight w:val="660" w:hRule="atLeast"/>
        </w:trPr>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c>
          <w:tcPr>
            <w:shd w:fill="auto" w:val="clear"/>
          </w:tcPr>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21"/>
            </w:sdtPr>
            <w:sdtContent>
              <w:p w:rsidR="00000000" w:rsidDel="00000000" w:rsidP="00000000" w:rsidRDefault="00000000" w:rsidRPr="00000000" w14:paraId="000000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22"/>
            </w:sdtPr>
            <w:sdtContent>
              <w:p w:rsidR="00000000" w:rsidDel="00000000" w:rsidP="00000000" w:rsidRDefault="00000000" w:rsidRPr="00000000" w14:paraId="0000001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3"/>
      </w:sdtPr>
      <w:sdtContent>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after="0" w:line="240" w:lineRule="auto"/>
            <w:rPr>
              <w:rFonts w:ascii="Arial" w:cs="Arial" w:eastAsia="Arial" w:hAnsi="Arial"/>
              <w:sz w:val="18"/>
              <w:szCs w:val="18"/>
            </w:rPr>
          </w:pPr>
          <w:r w:rsidDel="00000000" w:rsidR="00000000" w:rsidRPr="00000000">
            <w:rPr>
              <w:rtl w:val="0"/>
            </w:rPr>
          </w:r>
        </w:p>
      </w:sdtContent>
    </w:sdt>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765"/>
        <w:tblGridChange w:id="0">
          <w:tblGrid>
            <w:gridCol w:w="2355"/>
            <w:gridCol w:w="6765"/>
          </w:tblGrid>
        </w:tblGridChange>
      </w:tblGrid>
      <w:tr>
        <w:tc>
          <w:tcPr>
            <w:shd w:fill="auto" w:val="clear"/>
            <w:tcMar>
              <w:top w:w="100.0" w:type="dxa"/>
              <w:left w:w="100.0" w:type="dxa"/>
              <w:bottom w:w="100.0" w:type="dxa"/>
              <w:right w:w="100.0" w:type="dxa"/>
            </w:tcMar>
            <w:vAlign w:val="top"/>
          </w:tcPr>
          <w:sdt>
            <w:sdtPr>
              <w:tag w:val="goog_rdk_25"/>
            </w:sdtPr>
            <w:sdtContent>
              <w:p w:rsidR="00000000" w:rsidDel="00000000" w:rsidP="00000000" w:rsidRDefault="00000000" w:rsidRPr="00000000" w14:paraId="0000001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01/11/2018</w:t>
                </w:r>
              </w:p>
            </w:sdtContent>
          </w:sdt>
        </w:tc>
      </w:tr>
      <w:tr>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División Financiera</w:t>
                </w:r>
              </w:p>
            </w:sdtContent>
          </w:sdt>
        </w:tc>
      </w:tr>
    </w:tbl>
    <w:sdt>
      <w:sdtPr>
        <w:tag w:val="goog_rdk_29"/>
      </w:sdtPr>
      <w:sdtContent>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sdtContent>
    </w:sdt>
    <w:sdt>
      <w:sdtPr>
        <w:tag w:val="goog_rdk_30"/>
      </w:sdtPr>
      <w:sdtContent>
        <w:p w:rsidR="00000000" w:rsidDel="00000000" w:rsidP="00000000" w:rsidRDefault="00000000" w:rsidRPr="00000000" w14:paraId="0000001F">
          <w:pPr>
            <w:rPr/>
          </w:pPr>
          <w:r w:rsidDel="00000000" w:rsidR="00000000" w:rsidRPr="00000000">
            <w:br w:type="page"/>
          </w:r>
          <w:r w:rsidDel="00000000" w:rsidR="00000000" w:rsidRPr="00000000">
            <w:rPr>
              <w:rtl w:val="0"/>
            </w:rPr>
          </w:r>
        </w:p>
      </w:sdtContent>
    </w:sdt>
    <w:sdt>
      <w:sdtPr>
        <w:tag w:val="goog_rdk_31"/>
      </w:sdtPr>
      <w:sdtContent>
        <w:p w:rsidR="00000000" w:rsidDel="00000000" w:rsidP="00000000" w:rsidRDefault="00000000" w:rsidRPr="00000000" w14:paraId="00000020">
          <w:pPr>
            <w:rPr/>
          </w:pPr>
          <w:r w:rsidDel="00000000" w:rsidR="00000000" w:rsidRPr="00000000">
            <w:rPr>
              <w:rtl w:val="0"/>
            </w:rPr>
          </w:r>
        </w:p>
      </w:sdtContent>
    </w:sdt>
    <w:tbl>
      <w:tblPr>
        <w:tblStyle w:val="Table3"/>
        <w:tblW w:w="10708.0" w:type="dxa"/>
        <w:jc w:val="left"/>
        <w:tblInd w:w="-7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7519"/>
        <w:tblGridChange w:id="0">
          <w:tblGrid>
            <w:gridCol w:w="3189"/>
            <w:gridCol w:w="7519"/>
          </w:tblGrid>
        </w:tblGridChange>
      </w:tblGrid>
      <w:tr>
        <w:trPr>
          <w:trHeight w:val="840" w:hRule="atLeast"/>
        </w:trPr>
        <w:tc>
          <w:tcPr>
            <w:vMerge w:val="restart"/>
            <w:shd w:fill="f3f3f3" w:val="clear"/>
            <w:vAlign w:val="center"/>
          </w:tcPr>
          <w:sdt>
            <w:sdtPr>
              <w:tag w:val="goog_rdk_32"/>
            </w:sdtPr>
            <w:sdtContent>
              <w:p w:rsidR="00000000" w:rsidDel="00000000" w:rsidP="00000000" w:rsidRDefault="00000000" w:rsidRPr="00000000" w14:paraId="00000021">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33"/>
            </w:sdtPr>
            <w:sdtContent>
              <w:p w:rsidR="00000000" w:rsidDel="00000000" w:rsidP="00000000" w:rsidRDefault="00000000" w:rsidRPr="00000000" w14:paraId="00000022">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llevar a cabo la inscripción y evaluación de los proveedores que abastecen  a la Universidad de Bienes y Servicios. </w:t>
                </w:r>
              </w:p>
            </w:sdtContent>
          </w:sdt>
          <w:sdt>
            <w:sdtPr>
              <w:tag w:val="goog_rdk_35"/>
            </w:sdtPr>
            <w:sdtContent>
              <w:p w:rsidR="00000000" w:rsidDel="00000000" w:rsidP="00000000" w:rsidRDefault="00000000" w:rsidRPr="00000000" w14:paraId="00000024">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20" w:hRule="atLeast"/>
        </w:trPr>
        <w:tc>
          <w:tcPr>
            <w:shd w:fill="f3f3f3" w:val="clear"/>
            <w:vAlign w:val="center"/>
          </w:tcPr>
          <w:sdt>
            <w:sdtPr>
              <w:tag w:val="goog_rdk_39"/>
            </w:sdtPr>
            <w:sdtContent>
              <w:p w:rsidR="00000000" w:rsidDel="00000000" w:rsidP="00000000" w:rsidRDefault="00000000" w:rsidRPr="00000000" w14:paraId="00000028">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40"/>
            </w:sdtPr>
            <w:sdtContent>
              <w:p w:rsidR="00000000" w:rsidDel="00000000" w:rsidP="00000000" w:rsidRDefault="00000000" w:rsidRPr="00000000" w14:paraId="00000029">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el  proceso  de bienes y servicios, y realiza la adquisición de bienes y servicios en la Universidad de Manizales y estableciendo una relación comercial con los proveedores.</w:t>
                </w:r>
              </w:p>
            </w:sdtContent>
          </w:sdt>
        </w:tc>
      </w:tr>
      <w:tr>
        <w:trPr>
          <w:trHeight w:val="320" w:hRule="atLeast"/>
        </w:trPr>
        <w:tc>
          <w:tcPr>
            <w:shd w:fill="f3f3f3" w:val="clear"/>
            <w:vAlign w:val="center"/>
          </w:tcPr>
          <w:sdt>
            <w:sdtPr>
              <w:tag w:val="goog_rdk_41"/>
            </w:sdtPr>
            <w:sdtContent>
              <w:p w:rsidR="00000000" w:rsidDel="00000000" w:rsidP="00000000" w:rsidRDefault="00000000" w:rsidRPr="00000000" w14:paraId="0000002A">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2"/>
            </w:sdtPr>
            <w:sdtContent>
              <w:p w:rsidR="00000000" w:rsidDel="00000000" w:rsidP="00000000" w:rsidRDefault="00000000" w:rsidRPr="00000000" w14:paraId="0000002B">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Jefe de Compras </w:t>
                </w:r>
              </w:p>
            </w:sdtContent>
          </w:sdt>
        </w:tc>
      </w:tr>
    </w:tbl>
    <w:sdt>
      <w:sdtPr>
        <w:tag w:val="goog_rdk_43"/>
      </w:sdtPr>
      <w:sdtContent>
        <w:p w:rsidR="00000000" w:rsidDel="00000000" w:rsidP="00000000" w:rsidRDefault="00000000" w:rsidRPr="00000000" w14:paraId="0000002C">
          <w:pPr>
            <w:spacing w:before="10" w:lineRule="auto"/>
            <w:jc w:val="both"/>
            <w:rPr>
              <w:rFonts w:ascii="Arial" w:cs="Arial" w:eastAsia="Arial" w:hAnsi="Arial"/>
              <w:b w:val="1"/>
              <w:sz w:val="24"/>
              <w:szCs w:val="24"/>
            </w:rPr>
          </w:pPr>
          <w:r w:rsidDel="00000000" w:rsidR="00000000" w:rsidRPr="00000000">
            <w:rPr>
              <w:rtl w:val="0"/>
            </w:rPr>
          </w:r>
        </w:p>
      </w:sdtContent>
    </w:sdt>
    <w:sdt>
      <w:sdtPr>
        <w:tag w:val="goog_rdk_44"/>
      </w:sdtPr>
      <w:sdtContent>
        <w:p w:rsidR="00000000" w:rsidDel="00000000" w:rsidP="00000000" w:rsidRDefault="00000000" w:rsidRPr="00000000" w14:paraId="0000002D">
          <w:pPr>
            <w:spacing w:before="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PROVEEDORES</w:t>
          </w:r>
        </w:p>
      </w:sdtContent>
    </w:sdt>
    <w:sdt>
      <w:sdtPr>
        <w:tag w:val="goog_rdk_45"/>
      </w:sdtPr>
      <w:sdtContent>
        <w:p w:rsidR="00000000" w:rsidDel="00000000" w:rsidP="00000000" w:rsidRDefault="00000000" w:rsidRPr="00000000" w14:paraId="0000002E">
          <w:pPr>
            <w:spacing w:before="10" w:lineRule="auto"/>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Son personas naturales o jurídicas legalmente constituida que proveen un bien o servicio para el cumplimiento del objeto social de la Universidad.</w:t>
          </w: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primera fase para que un proveedor sea registrado en la base de datos de la Universidad de Manizales debe suministrar la siguiente información:</w:t>
          </w:r>
        </w:p>
      </w:sdtContent>
    </w:sdt>
    <w:sdt>
      <w:sdtPr>
        <w:tag w:val="goog_rdk_47"/>
      </w:sdtPr>
      <w:sdtContent>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Único Tributario RUT: Este documento debe vigente y no poseer enmendadura ni tachones, debe ser legible en todos sus componentes.</w:t>
          </w:r>
        </w:p>
      </w:sdtContent>
    </w:sdt>
    <w:sdt>
      <w:sdtPr>
        <w:tag w:val="goog_rdk_48"/>
      </w:sdtPr>
      <w:sdtContent>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 de Cámara de Comercio: Este certificado no debe ser inferior a tres meses, este documento será exigido </w:t>
          </w:r>
          <w:r w:rsidDel="00000000" w:rsidR="00000000" w:rsidRPr="00000000">
            <w:rPr>
              <w:rFonts w:ascii="Arial" w:cs="Arial" w:eastAsia="Arial" w:hAnsi="Arial"/>
              <w:sz w:val="24"/>
              <w:szCs w:val="24"/>
              <w:rtl w:val="0"/>
            </w:rPr>
            <w:t xml:space="preserve">sólo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las personas jurídicas.</w:t>
          </w:r>
        </w:p>
      </w:sdtContent>
    </w:sdt>
    <w:sdt>
      <w:sdtPr>
        <w:tag w:val="goog_rdk_49"/>
      </w:sdtPr>
      <w:sdtContent>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 de manejo de alturas: Dicho certificado debe ser expedido por las entidades competentes y será solicitados para los proveedores que presten servicios de mantenimiento y por su actividad lo requieran.</w:t>
          </w:r>
        </w:p>
      </w:sdtContent>
    </w:sdt>
    <w:sdt>
      <w:sdtPr>
        <w:tag w:val="goog_rdk_50"/>
      </w:sdtPr>
      <w:sdtContent>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Paz y  Salvo de seguridad social: Esta certificación no debe corresponder al periodo actual en que se hace la solicitud. </w:t>
          </w:r>
        </w:p>
      </w:sdtContent>
    </w:sdt>
    <w:sdt>
      <w:sdtPr>
        <w:tag w:val="goog_rdk_51"/>
      </w:sdtPr>
      <w:sdtContent>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Certificados de Calidad ISO, según sea el caso.</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momento de ingresar el proveedor a la base de datos dicha información será verificada su legalidad y clasificado de acuerdo a su actividad comercial, en carpetas electrónicas.</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entenderán como proveedores críticos aquellos que satisfagan los requerimientos de bienes y servicios de los procesos de docencia, investigación y proyección, estos proveedores serán sujetos de evaluación de acuerdo a los periodos establecidos.</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VALORACIÓN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LOS PROVEEDORES</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criterios establecidos para la calificación de proveedores son:</w:t>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TIEMPO DE ENTREGA: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la disponibilidad y reconoce la necesidad de una pronta entrega, sin comprometer la calidad de todos los aspectos técnicos o tecnológicos que posean los productos para satisfacción de la Universidad de Manizales.</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before="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CONDICIONES COMERCIALES: </w:t>
          </w:r>
          <w:r w:rsidDel="00000000" w:rsidR="00000000" w:rsidRPr="00000000">
            <w:rPr>
              <w:rFonts w:ascii="Arial" w:cs="Arial" w:eastAsia="Arial" w:hAnsi="Arial"/>
              <w:sz w:val="24"/>
              <w:szCs w:val="24"/>
              <w:rtl w:val="0"/>
            </w:rPr>
            <w:t xml:space="preserve">Es la capacidad comercial que los proveedores otorgan a los bienes o suministros y forma parte integral de todas las cotizaciones, propuestas, ofertas y formas de pago, que pueda favorecer a la Universidad de Manizales, también proporciona aquellos datos y reglas para el buen uso o funcionamiento de todos los bienes o servicios que necesita la Universidad para obtener un beneficio esperado o duradero.</w:t>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 DEL PRODUCTO: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sustentada exclusivamente en todos los aspectos técnicos y tecnológicos que </w:t>
          </w:r>
          <w:r w:rsidDel="00000000" w:rsidR="00000000" w:rsidRPr="00000000">
            <w:rPr>
              <w:rFonts w:ascii="Arial" w:cs="Arial" w:eastAsia="Arial" w:hAnsi="Arial"/>
              <w:sz w:val="24"/>
              <w:szCs w:val="24"/>
              <w:rtl w:val="0"/>
            </w:rPr>
            <w:t xml:space="preserve">poseen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satisfacer la necesidad de un producto final a satisfacción.</w:t>
          </w: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AGREGADO: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Está determinado al servicio posventa del bien o servicio que el proveedor pueda otorgar a la Universidad de Manizales.</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spacing w:before="1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REPUTACIÓN</w:t>
          </w:r>
          <w:r w:rsidDel="00000000" w:rsidR="00000000" w:rsidRPr="00000000">
            <w:rPr>
              <w:rFonts w:ascii="Arial" w:cs="Arial" w:eastAsia="Arial" w:hAnsi="Arial"/>
              <w:b w:val="1"/>
              <w:sz w:val="24"/>
              <w:szCs w:val="24"/>
              <w:rtl w:val="0"/>
            </w:rPr>
            <w:t xml:space="preserve"> EN EL MERCADO / SST: </w:t>
          </w:r>
          <w:r w:rsidDel="00000000" w:rsidR="00000000" w:rsidRPr="00000000">
            <w:rPr>
              <w:rFonts w:ascii="Arial" w:cs="Arial" w:eastAsia="Arial" w:hAnsi="Arial"/>
              <w:sz w:val="24"/>
              <w:szCs w:val="24"/>
              <w:rtl w:val="0"/>
            </w:rPr>
            <w:t xml:space="preserve">Durante la entrega del insumo o desarrollo del servicio contó con el personal calificado para dar a cumplimiento a satisfacción para lo que fue contratado, de acuerdo a la normatividad que las ARL determinan.</w:t>
          </w:r>
        </w:p>
      </w:sdtContent>
    </w:sdt>
    <w:sdt>
      <w:sdtPr>
        <w:tag w:val="goog_rdk_71"/>
      </w:sdtPr>
      <w:sdtContent>
        <w:p w:rsidR="00000000" w:rsidDel="00000000" w:rsidP="00000000" w:rsidRDefault="00000000" w:rsidRPr="00000000" w14:paraId="00000048">
          <w:pPr>
            <w:spacing w:before="10" w:lineRule="auto"/>
            <w:jc w:val="both"/>
            <w:rPr>
              <w:rFonts w:ascii="Arial" w:cs="Arial" w:eastAsia="Arial" w:hAnsi="Arial"/>
              <w:sz w:val="24"/>
              <w:szCs w:val="24"/>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before="10" w:lineRule="auto"/>
            <w:jc w:val="both"/>
            <w:rPr>
              <w:rFonts w:ascii="Arial" w:cs="Arial" w:eastAsia="Arial" w:hAnsi="Arial"/>
              <w:sz w:val="24"/>
              <w:szCs w:val="24"/>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before="10" w:lineRule="auto"/>
            <w:jc w:val="both"/>
            <w:rPr>
              <w:rFonts w:ascii="Arial" w:cs="Arial" w:eastAsia="Arial" w:hAnsi="Arial"/>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before="10" w:lineRule="auto"/>
            <w:jc w:val="both"/>
            <w:rPr>
              <w:rFonts w:ascii="Arial" w:cs="Arial" w:eastAsia="Arial" w:hAnsi="Arial"/>
              <w:sz w:val="24"/>
              <w:szCs w:val="24"/>
            </w:rPr>
          </w:pPr>
          <w:r w:rsidDel="00000000" w:rsidR="00000000" w:rsidRPr="00000000">
            <w:rPr>
              <w:rtl w:val="0"/>
            </w:rPr>
          </w:r>
        </w:p>
      </w:sdtContent>
    </w:sdt>
    <w:sdt>
      <w:sdtPr>
        <w:tag w:val="goog_rdk_75"/>
      </w:sdtPr>
      <w:sdtContent>
        <w:p w:rsidR="00000000" w:rsidDel="00000000" w:rsidP="00000000" w:rsidRDefault="00000000" w:rsidRPr="00000000" w14:paraId="0000004C">
          <w:pPr>
            <w:spacing w:before="10" w:lineRule="auto"/>
            <w:jc w:val="both"/>
            <w:rPr>
              <w:rFonts w:ascii="Arial" w:cs="Arial" w:eastAsia="Arial" w:hAnsi="Arial"/>
              <w:sz w:val="24"/>
              <w:szCs w:val="24"/>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Cuadro Formato de Calificación Proveedores </w:t>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296505"/>
                <wp:effectExtent b="0" l="0" r="0" t="0"/>
                <wp:docPr id="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2296505"/>
                        </a:xfrm>
                        <a:prstGeom prst="rect"/>
                        <a:ln/>
                      </pic:spPr>
                    </pic:pic>
                  </a:graphicData>
                </a:graphic>
              </wp:inline>
            </w:drawing>
          </w: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Ver: </w:t>
          </w:r>
          <w:r w:rsidDel="00000000" w:rsidR="00000000" w:rsidRPr="00000000">
            <w:rPr>
              <w:rFonts w:ascii="Arial" w:cs="Arial" w:eastAsia="Arial" w:hAnsi="Arial"/>
              <w:sz w:val="24"/>
              <w:szCs w:val="24"/>
              <w:rtl w:val="0"/>
            </w:rPr>
            <w:t xml:space="preserve">GF-FOR-025</w:t>
          </w: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ESCALA DE </w:t>
          </w:r>
          <w:r w:rsidDel="00000000" w:rsidR="00000000" w:rsidRPr="00000000">
            <w:rPr>
              <w:rFonts w:ascii="Arial" w:cs="Arial" w:eastAsia="Arial" w:hAnsi="Arial"/>
              <w:b w:val="1"/>
              <w:sz w:val="24"/>
              <w:szCs w:val="24"/>
              <w:rtl w:val="0"/>
            </w:rPr>
            <w:t xml:space="preserve">VALORACIÓN</w:t>
          </w: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lo establecido en la valoración de los proveedores la escala exige una evaluación cualitativa que determina aquellos aspectos de una actividad o relaciones comerciales producto de una negociación formal entre la Universidad de Manizales y los proveedores, cada categoría expresa la calidad que se observó durante la solicitud de un bien o servicio.</w:t>
          </w:r>
        </w:p>
      </w:sdtContent>
    </w:sdt>
    <w:sdt>
      <w:sdtPr>
        <w:tag w:val="goog_rdk_85"/>
      </w:sdtPr>
      <w:sdtContent>
        <w:p w:rsidR="00000000" w:rsidDel="00000000" w:rsidP="00000000" w:rsidRDefault="00000000" w:rsidRPr="00000000" w14:paraId="00000056">
          <w:pPr>
            <w:spacing w:before="10" w:lineRule="auto"/>
            <w:jc w:val="both"/>
            <w:rPr>
              <w:rFonts w:ascii="Arial" w:cs="Arial" w:eastAsia="Arial" w:hAnsi="Arial"/>
              <w:sz w:val="24"/>
              <w:szCs w:val="24"/>
            </w:rPr>
          </w:pP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Valoración de Proveedores</w:t>
          </w:r>
        </w:p>
      </w:sdtContent>
    </w:sdt>
    <w:sdt>
      <w:sdtPr>
        <w:tag w:val="goog_rdk_87"/>
      </w:sdtPr>
      <w:sdtContent>
        <w:p w:rsidR="00000000" w:rsidDel="00000000" w:rsidP="00000000" w:rsidRDefault="00000000" w:rsidRPr="00000000" w14:paraId="00000058">
          <w:pPr>
            <w:spacing w:before="1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3400" cy="3554095"/>
                <wp:effectExtent b="0" l="0" r="0" t="0"/>
                <wp:docPr id="2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3400" cy="3554095"/>
                        </a:xfrm>
                        <a:prstGeom prst="rect"/>
                        <a:ln/>
                      </pic:spPr>
                    </pic:pic>
                  </a:graphicData>
                </a:graphic>
              </wp:inline>
            </w:drawing>
          </w:r>
          <w:r w:rsidDel="00000000" w:rsidR="00000000" w:rsidRPr="00000000">
            <w:rPr>
              <w:rtl w:val="0"/>
            </w:rPr>
          </w:r>
        </w:p>
      </w:sdtContent>
    </w:sdt>
    <w:sdt>
      <w:sdtPr>
        <w:tag w:val="goog_rdk_88"/>
      </w:sdtPr>
      <w:sdtContent>
        <w:p w:rsidR="00000000" w:rsidDel="00000000" w:rsidP="00000000" w:rsidRDefault="00000000" w:rsidRPr="00000000" w14:paraId="00000059">
          <w:pPr>
            <w:jc w:val="both"/>
            <w:rPr>
              <w:b w:val="1"/>
            </w:rPr>
          </w:pPr>
          <w:r w:rsidDel="00000000" w:rsidR="00000000" w:rsidRPr="00000000">
            <w:rPr>
              <w:rtl w:val="0"/>
            </w:rPr>
          </w:r>
        </w:p>
      </w:sdtContent>
    </w:sdt>
    <w:sdt>
      <w:sdtPr>
        <w:tag w:val="goog_rdk_89"/>
      </w:sdtPr>
      <w:sdtContent>
        <w:p w:rsidR="00000000" w:rsidDel="00000000" w:rsidP="00000000" w:rsidRDefault="00000000" w:rsidRPr="00000000" w14:paraId="0000005A">
          <w:pPr>
            <w:jc w:val="both"/>
            <w:rPr>
              <w:b w:val="1"/>
            </w:rPr>
          </w:pPr>
          <w:r w:rsidDel="00000000" w:rsidR="00000000" w:rsidRPr="00000000">
            <w:rPr>
              <w:b w:val="1"/>
              <w:sz w:val="24"/>
              <w:szCs w:val="24"/>
              <w:rtl w:val="0"/>
            </w:rPr>
            <w:t xml:space="preserve">SEGUIMIENTO</w:t>
          </w:r>
          <w:r w:rsidDel="00000000" w:rsidR="00000000" w:rsidRPr="00000000">
            <w:rPr>
              <w:b w:val="1"/>
              <w:rtl w:val="0"/>
            </w:rPr>
            <w:t xml:space="preserve">:</w:t>
          </w:r>
        </w:p>
      </w:sdtContent>
    </w:sdt>
    <w:sdt>
      <w:sdtPr>
        <w:tag w:val="goog_rdk_90"/>
      </w:sdtPr>
      <w:sdtContent>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una evaluación periódica de manera semestral, en la que se determina la calificación de cada uno de los proveedores según los criterios establecidos, en caso de que sea mal calificado un proveedor en la  evaluación semestral, se le notificará al proveedor crítico mal calificado y se le solicitará un plan de mejora para subsanar la mala calificación presentada.</w:t>
          </w:r>
        </w:p>
      </w:sdtContent>
    </w:sdt>
    <w:sdt>
      <w:sdtPr>
        <w:tag w:val="goog_rdk_91"/>
      </w:sdtPr>
      <w:sdtContent>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jefe de compras en la próxima evaluación a proveedores prestará especial atención al comportamiento y cumplimiento del plan de mejora presentado por parte del proveedor, para determinar así la viabilidad de continuar la relación comercial dicha decisión debe ser notificada al proveedor.</w:t>
          </w:r>
        </w:p>
      </w:sdtContent>
    </w:sdt>
    <w:sdt>
      <w:sdtPr>
        <w:tag w:val="goog_rdk_92"/>
      </w:sdtPr>
      <w:sdtContent>
        <w:p w:rsidR="00000000" w:rsidDel="00000000" w:rsidP="00000000" w:rsidRDefault="00000000" w:rsidRPr="00000000" w14:paraId="0000005D">
          <w:pPr>
            <w:jc w:val="both"/>
            <w:rPr/>
          </w:pPr>
          <w:r w:rsidDel="00000000" w:rsidR="00000000" w:rsidRPr="00000000">
            <w:rPr>
              <w:rtl w:val="0"/>
            </w:rPr>
          </w:r>
        </w:p>
      </w:sdtContent>
    </w:sdt>
    <w:sdt>
      <w:sdtPr>
        <w:tag w:val="goog_rdk_93"/>
      </w:sdtPr>
      <w:sdtContent>
        <w:p w:rsidR="00000000" w:rsidDel="00000000" w:rsidP="00000000" w:rsidRDefault="00000000" w:rsidRPr="00000000" w14:paraId="0000005E">
          <w:pPr>
            <w:jc w:val="both"/>
            <w:rPr/>
          </w:pPr>
          <w:r w:rsidDel="00000000" w:rsidR="00000000" w:rsidRPr="00000000">
            <w:rPr>
              <w:rtl w:val="0"/>
            </w:rPr>
          </w:r>
        </w:p>
      </w:sdtContent>
    </w:sdt>
    <w:sdt>
      <w:sdtPr>
        <w:tag w:val="goog_rdk_94"/>
      </w:sdtPr>
      <w:sdtContent>
        <w:p w:rsidR="00000000" w:rsidDel="00000000" w:rsidP="00000000" w:rsidRDefault="00000000" w:rsidRPr="00000000" w14:paraId="0000005F">
          <w:pPr>
            <w:jc w:val="both"/>
            <w:rPr/>
          </w:pPr>
          <w:r w:rsidDel="00000000" w:rsidR="00000000" w:rsidRPr="00000000">
            <w:rPr>
              <w:rtl w:val="0"/>
            </w:rPr>
          </w:r>
        </w:p>
      </w:sdtContent>
    </w:sdt>
    <w:sdt>
      <w:sdtPr>
        <w:tag w:val="goog_rdk_95"/>
      </w:sdtPr>
      <w:sdtContent>
        <w:p w:rsidR="00000000" w:rsidDel="00000000" w:rsidP="00000000" w:rsidRDefault="00000000" w:rsidRPr="00000000" w14:paraId="00000060">
          <w:pPr>
            <w:jc w:val="both"/>
            <w:rPr>
              <w:b w:val="1"/>
            </w:rPr>
          </w:pPr>
          <w:r w:rsidDel="00000000" w:rsidR="00000000" w:rsidRPr="00000000">
            <w:rPr>
              <w:b w:val="1"/>
              <w:rtl w:val="0"/>
            </w:rPr>
            <w:t xml:space="preserve">DOCUMENTOS ASOCIADOS:</w:t>
          </w:r>
        </w:p>
      </w:sdtContent>
    </w:sdt>
    <w:sdt>
      <w:sdtPr>
        <w:tag w:val="goog_rdk_96"/>
      </w:sdtPr>
      <w:sdtContent>
        <w:p w:rsidR="00000000" w:rsidDel="00000000" w:rsidP="00000000" w:rsidRDefault="00000000" w:rsidRPr="00000000" w14:paraId="00000061">
          <w:pPr>
            <w:jc w:val="both"/>
            <w:rPr>
              <w:b w:val="1"/>
            </w:rPr>
          </w:pPr>
          <w:r w:rsidDel="00000000" w:rsidR="00000000" w:rsidRPr="00000000">
            <w:rPr>
              <w:rtl w:val="0"/>
            </w:rPr>
          </w:r>
        </w:p>
      </w:sdtContent>
    </w:sdt>
    <w:tbl>
      <w:tblPr>
        <w:tblStyle w:val="Table4"/>
        <w:tblW w:w="7365.0" w:type="dxa"/>
        <w:jc w:val="left"/>
        <w:tblInd w:w="89.00000000000006" w:type="dxa"/>
        <w:tblLayout w:type="fixed"/>
        <w:tblLook w:val="0400"/>
      </w:tblPr>
      <w:tblGrid>
        <w:gridCol w:w="5775"/>
        <w:gridCol w:w="1590"/>
        <w:tblGridChange w:id="0">
          <w:tblGrid>
            <w:gridCol w:w="5775"/>
            <w:gridCol w:w="1590"/>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97"/>
            </w:sdtPr>
            <w:sdtContent>
              <w:p w:rsidR="00000000" w:rsidDel="00000000" w:rsidP="00000000" w:rsidRDefault="00000000" w:rsidRPr="00000000" w14:paraId="0000006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DEL DOCUMENTO</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98"/>
            </w:sdtPr>
            <w:sdtContent>
              <w:p w:rsidR="00000000" w:rsidDel="00000000" w:rsidP="00000000" w:rsidRDefault="00000000" w:rsidRPr="00000000" w14:paraId="00000063">
                <w:pPr>
                  <w:spacing w:after="0" w:line="240" w:lineRule="auto"/>
                  <w:rPr>
                    <w:rFonts w:ascii="Calibri" w:cs="Calibri" w:eastAsia="Calibri" w:hAnsi="Calibri"/>
                    <w:b w:val="1"/>
                    <w:color w:val="000000"/>
                  </w:rPr>
                </w:pPr>
                <w:r w:rsidDel="00000000" w:rsidR="00000000" w:rsidRPr="00000000">
                  <w:rPr>
                    <w:b w:val="1"/>
                    <w:rtl w:val="0"/>
                  </w:rPr>
                  <w:t xml:space="preserve">CÓDIGO</w:t>
                </w: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99"/>
            </w:sdtPr>
            <w:sdtContent>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Formato Evaluación de Proveedores</w:t>
                </w:r>
              </w:p>
            </w:sdtContent>
          </w:sdt>
        </w:tc>
        <w:tc>
          <w:tcPr>
            <w:tcBorders>
              <w:top w:color="000000" w:space="0" w:sz="0" w:val="nil"/>
              <w:left w:color="000000" w:space="0" w:sz="0" w:val="nil"/>
              <w:bottom w:color="000000" w:space="0" w:sz="4" w:val="single"/>
              <w:right w:color="000000" w:space="0" w:sz="4" w:val="single"/>
            </w:tcBorders>
            <w:shd w:fill="ffffff" w:val="clear"/>
            <w:vAlign w:val="bottom"/>
          </w:tcPr>
          <w:sdt>
            <w:sdtPr>
              <w:tag w:val="goog_rdk_100"/>
            </w:sdtPr>
            <w:sdtContent>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GF-FOR-025</w:t>
                </w:r>
              </w:p>
            </w:sdtContent>
          </w:sdt>
        </w:tc>
      </w:tr>
    </w:tbl>
    <w:sdt>
      <w:sdtPr>
        <w:tag w:val="goog_rdk_101"/>
      </w:sdtPr>
      <w:sdtContent>
        <w:p w:rsidR="00000000" w:rsidDel="00000000" w:rsidP="00000000" w:rsidRDefault="00000000" w:rsidRPr="00000000" w14:paraId="00000066">
          <w:pPr>
            <w:jc w:val="both"/>
            <w:rPr>
              <w:b w:val="1"/>
            </w:rPr>
          </w:pPr>
          <w:r w:rsidDel="00000000" w:rsidR="00000000" w:rsidRPr="00000000">
            <w:rPr>
              <w:rtl w:val="0"/>
            </w:rPr>
          </w:r>
        </w:p>
      </w:sdtContent>
    </w:sdt>
    <w:sectPr>
      <w:headerReference r:id="rId9" w:type="default"/>
      <w:footerReference r:id="rId10"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2"/>
    </w:sdtPr>
    <w:sdtContent>
      <w:p w:rsidR="00000000" w:rsidDel="00000000" w:rsidP="00000000" w:rsidRDefault="00000000" w:rsidRPr="00000000" w14:paraId="00000067">
        <w:pPr>
          <w:widowControl w:val="0"/>
          <w:spacing w:after="0" w:lineRule="auto"/>
          <w:rPr>
            <w:rFonts w:ascii="Arial" w:cs="Arial" w:eastAsia="Arial" w:hAnsi="Arial"/>
            <w:sz w:val="18"/>
            <w:szCs w:val="18"/>
          </w:rPr>
        </w:pPr>
        <w:r w:rsidDel="00000000" w:rsidR="00000000" w:rsidRPr="00000000">
          <w:rPr>
            <w:rtl w:val="0"/>
          </w:rPr>
        </w:r>
      </w:p>
    </w:sdtContent>
  </w:sdt>
  <w:tbl>
    <w:tblPr>
      <w:tblStyle w:val="Table5"/>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103"/>
          </w:sdtPr>
          <w:sdtContent>
            <w:p w:rsidR="00000000" w:rsidDel="00000000" w:rsidP="00000000" w:rsidRDefault="00000000" w:rsidRPr="00000000" w14:paraId="00000068">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04"/>
          </w:sdtPr>
          <w:sdtContent>
            <w:p w:rsidR="00000000" w:rsidDel="00000000" w:rsidP="00000000" w:rsidRDefault="00000000" w:rsidRPr="00000000" w14:paraId="0000006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105"/>
          </w:sdtPr>
          <w:sdtContent>
            <w:p w:rsidR="00000000" w:rsidDel="00000000" w:rsidP="00000000" w:rsidRDefault="00000000" w:rsidRPr="00000000" w14:paraId="0000006A">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106"/>
          </w:sdtPr>
          <w:sdtContent>
            <w:p w:rsidR="00000000" w:rsidDel="00000000" w:rsidP="00000000" w:rsidRDefault="00000000" w:rsidRPr="00000000" w14:paraId="0000006B">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w:t>
              </w:r>
            </w:p>
          </w:sdtContent>
        </w:sdt>
        <w:sdt>
          <w:sdtPr>
            <w:tag w:val="goog_rdk_107"/>
          </w:sdtPr>
          <w:sdtContent>
            <w:p w:rsidR="00000000" w:rsidDel="00000000" w:rsidP="00000000" w:rsidRDefault="00000000" w:rsidRPr="00000000" w14:paraId="0000006C">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LA EVALUACIÓN DE PROVEEDORES</w:t>
              </w:r>
            </w:p>
          </w:sdtContent>
        </w:sdt>
      </w:tc>
      <w:tc>
        <w:tcPr>
          <w:vMerge w:val="restart"/>
        </w:tcPr>
        <w:sdt>
          <w:sdtPr>
            <w:tag w:val="goog_rdk_108"/>
          </w:sdtPr>
          <w:sdtContent>
            <w:p w:rsidR="00000000" w:rsidDel="00000000" w:rsidP="00000000" w:rsidRDefault="00000000" w:rsidRPr="00000000" w14:paraId="0000006D">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3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09"/>
          </w:sdtPr>
          <w:sdtContent>
            <w:p w:rsidR="00000000" w:rsidDel="00000000" w:rsidP="00000000" w:rsidRDefault="00000000" w:rsidRPr="00000000" w14:paraId="0000006E">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10"/>
          </w:sdtPr>
          <w:sdtContent>
            <w:p w:rsidR="00000000" w:rsidDel="00000000" w:rsidP="00000000" w:rsidRDefault="00000000" w:rsidRPr="00000000" w14:paraId="0000006F">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GF-IT-007</w:t>
              </w:r>
            </w:p>
          </w:sdtContent>
        </w:sdt>
      </w:tc>
    </w:tr>
    <w:tr>
      <w:trPr>
        <w:trHeight w:val="380" w:hRule="atLeast"/>
      </w:trPr>
      <w:tc>
        <w:tcPr>
          <w:vMerge w:val="continue"/>
        </w:tcPr>
        <w:sdt>
          <w:sdtPr>
            <w:tag w:val="goog_rdk_111"/>
          </w:sdtPr>
          <w:sdtContent>
            <w:p w:rsidR="00000000" w:rsidDel="00000000" w:rsidP="00000000" w:rsidRDefault="00000000" w:rsidRPr="00000000" w14:paraId="00000070">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12"/>
          </w:sdtPr>
          <w:sdtContent>
            <w:p w:rsidR="00000000" w:rsidDel="00000000" w:rsidP="00000000" w:rsidRDefault="00000000" w:rsidRPr="00000000" w14:paraId="00000071">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113"/>
          </w:sdtPr>
          <w:sdtContent>
            <w:p w:rsidR="00000000" w:rsidDel="00000000" w:rsidP="00000000" w:rsidRDefault="00000000" w:rsidRPr="00000000" w14:paraId="00000072">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114"/>
          </w:sdtPr>
          <w:sdtContent>
            <w:p w:rsidR="00000000" w:rsidDel="00000000" w:rsidP="00000000" w:rsidRDefault="00000000" w:rsidRPr="00000000" w14:paraId="00000073">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15"/>
          </w:sdtPr>
          <w:sdtContent>
            <w:p w:rsidR="00000000" w:rsidDel="00000000" w:rsidP="00000000" w:rsidRDefault="00000000" w:rsidRPr="00000000" w14:paraId="0000007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116"/>
          </w:sdtPr>
          <w:sdtContent>
            <w:p w:rsidR="00000000" w:rsidDel="00000000" w:rsidP="00000000" w:rsidRDefault="00000000" w:rsidRPr="00000000" w14:paraId="00000075">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17"/>
          </w:sdtPr>
          <w:sdtContent>
            <w:p w:rsidR="00000000" w:rsidDel="00000000" w:rsidP="00000000" w:rsidRDefault="00000000" w:rsidRPr="00000000" w14:paraId="00000076">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18"/>
          </w:sdtPr>
          <w:sdtContent>
            <w:p w:rsidR="00000000" w:rsidDel="00000000" w:rsidP="00000000" w:rsidRDefault="00000000" w:rsidRPr="00000000" w14:paraId="00000077">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19"/>
          </w:sdtPr>
          <w:sdtContent>
            <w:p w:rsidR="00000000" w:rsidDel="00000000" w:rsidP="00000000" w:rsidRDefault="00000000" w:rsidRPr="00000000" w14:paraId="00000078">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20"/>
          </w:sdtPr>
          <w:sdtContent>
            <w:p w:rsidR="00000000" w:rsidDel="00000000" w:rsidP="00000000" w:rsidRDefault="00000000" w:rsidRPr="00000000" w14:paraId="00000079">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121"/>
          </w:sdtPr>
          <w:sdtContent>
            <w:p w:rsidR="00000000" w:rsidDel="00000000" w:rsidP="00000000" w:rsidRDefault="00000000" w:rsidRPr="00000000" w14:paraId="0000007A">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22"/>
          </w:sdtPr>
          <w:sdtContent>
            <w:p w:rsidR="00000000" w:rsidDel="00000000" w:rsidP="00000000" w:rsidRDefault="00000000" w:rsidRPr="00000000" w14:paraId="0000007B">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23"/>
          </w:sdtPr>
          <w:sdtContent>
            <w:p w:rsidR="00000000" w:rsidDel="00000000" w:rsidP="00000000" w:rsidRDefault="00000000" w:rsidRPr="00000000" w14:paraId="0000007C">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24"/>
          </w:sdtPr>
          <w:sdtContent>
            <w:p w:rsidR="00000000" w:rsidDel="00000000" w:rsidP="00000000" w:rsidRDefault="00000000" w:rsidRPr="00000000" w14:paraId="0000007D">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25"/>
          </w:sdtPr>
          <w:sdtContent>
            <w:p w:rsidR="00000000" w:rsidDel="00000000" w:rsidP="00000000" w:rsidRDefault="00000000" w:rsidRPr="00000000" w14:paraId="0000007E">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140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7C1401"/>
    <w:pPr>
      <w:spacing w:after="0" w:line="240" w:lineRule="auto"/>
    </w:pPr>
  </w:style>
  <w:style w:type="paragraph" w:styleId="Textodeglobo">
    <w:name w:val="Balloon Text"/>
    <w:basedOn w:val="Normal"/>
    <w:link w:val="TextodegloboCar"/>
    <w:uiPriority w:val="99"/>
    <w:semiHidden w:val="1"/>
    <w:unhideWhenUsed w:val="1"/>
    <w:rsid w:val="007C140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C1401"/>
    <w:rPr>
      <w:rFonts w:ascii="Tahoma" w:cs="Tahoma" w:hAnsi="Tahoma"/>
      <w:sz w:val="16"/>
      <w:szCs w:val="16"/>
    </w:rPr>
  </w:style>
  <w:style w:type="paragraph" w:styleId="Encabezado">
    <w:name w:val="header"/>
    <w:basedOn w:val="Normal"/>
    <w:link w:val="EncabezadoCar"/>
    <w:uiPriority w:val="99"/>
    <w:unhideWhenUsed w:val="1"/>
    <w:rsid w:val="000D240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D2401"/>
  </w:style>
  <w:style w:type="paragraph" w:styleId="Piedepgina">
    <w:name w:val="footer"/>
    <w:basedOn w:val="Normal"/>
    <w:link w:val="PiedepginaCar"/>
    <w:uiPriority w:val="99"/>
    <w:unhideWhenUsed w:val="1"/>
    <w:rsid w:val="000D240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D240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3h1WvyxsOGIBSQqD9XY3ZCLRA==">AMUW2mUw9dDvkCKPkAb3gLB0VJX0zkkbXczfgGEEyvxx8GYpqez5hGv7Gm8J0F547A0REe4lN7a7bJgyERi2mgnJB79bz4igM2GXcfflLJwVGD7jHGpJ8UE62BtIRgfLlS8M26E6Xp9s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2018-10-10T15:14:00Z</dcterms:created>
  <dc:creator>almacen</dc:creator>
</cp:coreProperties>
</file>