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
      </w:pPr>
      <w:r>
        <w:rPr>
          <w:rFonts w:ascii="Calibri" w:cs="Calibri" w:eastAsia="Calibri" w:hAnsi="Calibri"/>
          <w:b/>
          <w:bCs/>
          <w:color w:val="16233B"/>
          <w:sz w:val="48"/>
          <w:szCs w:val="48"/>
        </w:rPr>
        <w:t xml:space="preserve">ORIGEN</w:t>
      </w:r>
    </w:p>
    <w:p>
      <w:pPr>
        <w:spacing w:after="12"/>
      </w:pPr>
      <w:r>
        <w:rPr>
          <w:rFonts w:ascii="Calibri" w:cs="Calibri" w:eastAsia="Calibri" w:hAnsi="Calibri"/>
          <w:i/>
          <w:iCs/>
          <w:color w:val="B44A1E"/>
          <w:sz w:val="21"/>
          <w:szCs w:val="21"/>
        </w:rPr>
        <w:t xml:space="preserve">Copiloto de Deliberación Financiera para Colsubsidio</w:t>
      </w:r>
    </w:p>
    <w:p>
      <w:pPr>
        <w:spacing w:after="10"/>
      </w:pPr>
      <w:r>
        <w:rPr>
          <w:rFonts w:ascii="Calibri" w:cs="Calibri" w:eastAsia="Calibri" w:hAnsi="Calibri"/>
          <w:b/>
          <w:bCs/>
          <w:color w:val="16233B"/>
          <w:sz w:val="18"/>
          <w:szCs w:val="18"/>
        </w:rPr>
        <w:t xml:space="preserve">El mejor crédito no es el que se puede aprobar, sino el que mejora una vida.</w:t>
      </w:r>
    </w:p>
    <w:p>
      <w:pPr>
        <w:pBdr>
          <w:bottom w:val="single" w:color="B44A1E" w:sz="8" w:space="4"/>
        </w:pBdr>
        <w:spacing w:after="40"/>
      </w:pPr>
      <w:r>
        <w:rPr>
          <w:rFonts w:ascii="Calibri" w:cs="Calibri" w:eastAsia="Calibri" w:hAnsi="Calibri"/>
          <w:color w:val="5A6472"/>
          <w:sz w:val="16"/>
          <w:szCs w:val="16"/>
        </w:rPr>
        <w:t xml:space="preserve">Documento maestro  ·  Julio 2026</w:t>
      </w:r>
    </w:p>
    <w:p>
      <w:pPr>
        <w:spacing w:after="26"/>
      </w:pPr>
    </w:p>
    <w:p>
      <w:pPr>
        <w:keepNext/>
        <w:pBdr>
          <w:bottom w:val="single" w:color="D8DCE3" w:sz="4" w:space="3"/>
        </w:pBdr>
        <w:spacing w:after="70" w:before="16" w:line="250"/>
      </w:pPr>
      <w:r>
        <w:rPr>
          <w:rFonts w:ascii="Calibri" w:cs="Calibri" w:eastAsia="Calibri" w:hAnsi="Calibri"/>
          <w:b/>
          <w:bCs/>
          <w:color w:val="B44A1E"/>
          <w:sz w:val="22"/>
          <w:szCs w:val="22"/>
        </w:rPr>
        <w:t xml:space="preserve">El desafío</w:t>
      </w:r>
    </w:p>
    <w:p>
      <w:pPr>
        <w:spacing w:after="90" w:before="0" w:line="250"/>
      </w:pPr>
      <w:r>
        <w:rPr>
          <w:rFonts w:ascii="Calibri" w:cs="Calibri" w:eastAsia="Calibri" w:hAnsi="Calibri"/>
          <w:color w:val="1B1B1B"/>
          <w:sz w:val="18"/>
          <w:szCs w:val="18"/>
        </w:rPr>
        <w:t xml:space="preserve">Colsubsidio ya conoce a sus afiliados —ingresos, categoría, empleador, composición familiar, uso de servicios, trayectoria en la Caja—, pero ese conocimiento aún no se traduce en decisiones personalizadas. Con frecuencia, personas con realidades distintas reciben ofertas parecidas, sin explicación clara del porqué ni del momento o el canal adecuado. El reto es convertir esos datos en decisiones financieras transparentes, explicables y centradas en la realidad de cada persona.</w:t>
      </w:r>
    </w:p>
    <w:p>
      <w:pPr>
        <w:keepNext/>
        <w:pBdr>
          <w:bottom w:val="single" w:color="D8DCE3" w:sz="4" w:space="3"/>
        </w:pBdr>
        <w:spacing w:after="70" w:before="180" w:line="250"/>
      </w:pPr>
      <w:r>
        <w:rPr>
          <w:rFonts w:ascii="Calibri" w:cs="Calibri" w:eastAsia="Calibri" w:hAnsi="Calibri"/>
          <w:b/>
          <w:bCs/>
          <w:color w:val="B44A1E"/>
          <w:sz w:val="22"/>
          <w:szCs w:val="22"/>
        </w:rPr>
        <w:t xml:space="preserve">La propuesta</w:t>
      </w:r>
    </w:p>
    <w:p>
      <w:pPr>
        <w:spacing w:after="90" w:before="0" w:line="250"/>
      </w:pPr>
      <w:r>
        <w:rPr>
          <w:rFonts w:ascii="Calibri" w:cs="Calibri" w:eastAsia="Calibri" w:hAnsi="Calibri"/>
          <w:color w:val="1B1B1B"/>
          <w:sz w:val="18"/>
          <w:szCs w:val="18"/>
        </w:rPr>
        <w:t xml:space="preserve">ORIGEN es un copiloto que asiste al analista. A partir de una cédula —o de un lote de hasta </w:t>
      </w:r>
      <w:r>
        <w:rPr>
          <w:rFonts w:ascii="Calibri" w:cs="Calibri" w:eastAsia="Calibri" w:hAnsi="Calibri"/>
          <w:b/>
          <w:bCs/>
          <w:color w:val="1B1B1B"/>
          <w:sz w:val="18"/>
          <w:szCs w:val="18"/>
        </w:rPr>
        <w:t xml:space="preserve">5.000 afiliados</w:t>
      </w:r>
      <w:r>
        <w:rPr>
          <w:rFonts w:ascii="Calibri" w:cs="Calibri" w:eastAsia="Calibri" w:hAnsi="Calibri"/>
          <w:color w:val="1B1B1B"/>
          <w:sz w:val="18"/>
          <w:szCs w:val="18"/>
        </w:rPr>
        <w:t xml:space="preserve">— enriquece el perfil con información autorizada, evalúa simultáneamente los siete productos del portafolio, compara las alternativas, explica por qué una genera más bienestar que las demás y construye la comunicación. No pregunta </w:t>
      </w:r>
      <w:r>
        <w:rPr>
          <w:rFonts w:ascii="Calibri" w:cs="Calibri" w:eastAsia="Calibri" w:hAnsi="Calibri"/>
          <w:i/>
          <w:iCs/>
          <w:color w:val="1B1B1B"/>
          <w:sz w:val="18"/>
          <w:szCs w:val="18"/>
        </w:rPr>
        <w:t xml:space="preserve">«¿qué crédito podemos ofrecer?»</w:t>
      </w:r>
      <w:r>
        <w:rPr>
          <w:rFonts w:ascii="Calibri" w:cs="Calibri" w:eastAsia="Calibri" w:hAnsi="Calibri"/>
          <w:color w:val="1B1B1B"/>
          <w:sz w:val="18"/>
          <w:szCs w:val="18"/>
        </w:rPr>
        <w:t xml:space="preserve"> sino </w:t>
      </w:r>
      <w:r>
        <w:rPr>
          <w:rFonts w:ascii="Calibri" w:cs="Calibri" w:eastAsia="Calibri" w:hAnsi="Calibri"/>
          <w:b/>
          <w:bCs/>
          <w:color w:val="B44A1E"/>
          <w:sz w:val="18"/>
          <w:szCs w:val="18"/>
        </w:rPr>
        <w:t xml:space="preserve">«¿cuál es la mejor decisión financiera para esta persona, hoy?»</w:t>
      </w:r>
      <w:r>
        <w:rPr>
          <w:rFonts w:ascii="Calibri" w:cs="Calibri" w:eastAsia="Calibri" w:hAnsi="Calibri"/>
          <w:color w:val="1B1B1B"/>
          <w:sz w:val="18"/>
          <w:szCs w:val="18"/>
        </w:rPr>
        <w:t xml:space="preserve"> — que puede ser un producto, un producto con condiciones, o una Ruta de Bienestar cuando prestar no conviene.</w:t>
      </w:r>
    </w:p>
    <w:p>
      <w:pPr>
        <w:keepNext/>
        <w:pBdr>
          <w:bottom w:val="single" w:color="D8DCE3" w:sz="4" w:space="3"/>
        </w:pBdr>
        <w:spacing w:after="70" w:before="180" w:line="250"/>
      </w:pPr>
      <w:r>
        <w:rPr>
          <w:rFonts w:ascii="Calibri" w:cs="Calibri" w:eastAsia="Calibri" w:hAnsi="Calibri"/>
          <w:b/>
          <w:bCs/>
          <w:color w:val="B44A1E"/>
          <w:sz w:val="22"/>
          <w:szCs w:val="22"/>
        </w:rPr>
        <w:t xml:space="preserve">El momento diferencial</w:t>
      </w:r>
    </w:p>
    <w:p>
      <w:pPr>
        <w:spacing w:after="36" w:before="36"/>
        <w:jc w:val="center"/>
      </w:pPr>
      <w:r>
        <w:rPr>
          <w:rFonts w:ascii="Calibri" w:cs="Calibri" w:eastAsia="Calibri" w:hAnsi="Calibri"/>
          <w:b/>
          <w:bCs/>
          <w:color w:val="16233B"/>
          <w:sz w:val="26"/>
          <w:szCs w:val="26"/>
        </w:rPr>
        <w:t xml:space="preserve">7 decisiones evaluadas.  1 decisión recomendada.</w:t>
      </w:r>
    </w:p>
    <w:p>
      <w:pPr>
        <w:spacing w:after="90" w:before="0" w:line="250"/>
        <w:jc w:val="center"/>
      </w:pPr>
      <w:r>
        <w:rPr>
          <w:rFonts w:ascii="Calibri" w:cs="Calibri" w:eastAsia="Calibri" w:hAnsi="Calibri"/>
          <w:color w:val="1B1B1B"/>
          <w:sz w:val="18"/>
          <w:szCs w:val="18"/>
        </w:rPr>
        <w:t xml:space="preserve">Antes de recomendar, ORIGEN compara todo el portafolio y elige la alternativa que maximiza el bienestar del afiliado. No es un clasificador de productos: delibera, justifica y acompaña — y muestra su razonamiento para que el analista pueda auditarlo.</w:t>
      </w:r>
    </w:p>
    <w:p>
      <w:pPr>
        <w:pageBreakBefore/>
      </w:pPr>
    </w:p>
    <w:p>
      <w:pPr>
        <w:keepNext/>
        <w:pBdr>
          <w:bottom w:val="single" w:color="D8DCE3" w:sz="4" w:space="3"/>
        </w:pBdr>
        <w:spacing w:after="70" w:before="180" w:line="250"/>
      </w:pPr>
      <w:r>
        <w:rPr>
          <w:rFonts w:ascii="Calibri" w:cs="Calibri" w:eastAsia="Calibri" w:hAnsi="Calibri"/>
          <w:b/>
          <w:bCs/>
          <w:color w:val="B44A1E"/>
          <w:sz w:val="22"/>
          <w:szCs w:val="22"/>
        </w:rPr>
        <w:t xml:space="preserve">La entrada: de una cédula a variables exógenas</w:t>
      </w:r>
    </w:p>
    <w:p>
      <w:pPr>
        <w:spacing w:after="80" w:before="0" w:line="250"/>
      </w:pPr>
      <w:r>
        <w:rPr>
          <w:rFonts w:ascii="Calibri" w:cs="Calibri" w:eastAsia="Calibri" w:hAnsi="Calibri"/>
          <w:color w:val="1B1B1B"/>
          <w:sz w:val="18"/>
          <w:szCs w:val="18"/>
        </w:rPr>
        <w:t xml:space="preserve">El reto es literal: se ingresa una cédula (o un lote de hasta 5.000) y el sistema </w:t>
      </w:r>
      <w:r>
        <w:rPr>
          <w:rFonts w:ascii="Calibri" w:cs="Calibri" w:eastAsia="Calibri" w:hAnsi="Calibri"/>
          <w:b/>
          <w:bCs/>
          <w:color w:val="1B1B1B"/>
          <w:sz w:val="18"/>
          <w:szCs w:val="18"/>
        </w:rPr>
        <w:t xml:space="preserve">devuelve</w:t>
      </w:r>
      <w:r>
        <w:rPr>
          <w:rFonts w:ascii="Calibri" w:cs="Calibri" w:eastAsia="Calibri" w:hAnsi="Calibri"/>
          <w:color w:val="1B1B1B"/>
          <w:sz w:val="18"/>
          <w:szCs w:val="18"/>
        </w:rPr>
        <w:t xml:space="preserve"> variables que Colsubsidio no tiene. ORIGEN declara de cada una su fuente, su base jurídica y qué cambia en la decisión — ese registro es lo que hace el enriquecimiento auditable y legítimo.</w:t>
      </w:r>
    </w:p>
    <w:tbl>
      <w:tblPr>
        <w:tblW w:type="dxa" w:w="10080"/>
        <w:tblBorders>
          <w:top w:val="single" w:color="C9CFD8" w:sz="2"/>
          <w:left w:val="single" w:color="C9CFD8" w:sz="2"/>
          <w:bottom w:val="single" w:color="C9CFD8" w:sz="2"/>
          <w:right w:val="single" w:color="C9CFD8" w:sz="2"/>
          <w:insideH w:val="single" w:color="C9CFD8" w:sz="2"/>
          <w:insideV w:val="single" w:color="C9CFD8" w:sz="2"/>
        </w:tblBorders>
      </w:tblPr>
      <w:tblGrid>
        <w:gridCol w:w="2400"/>
        <w:gridCol w:w="2400"/>
        <w:gridCol w:w="2500"/>
        <w:gridCol w:w="2780"/>
      </w:tblGrid>
      <w:tr>
        <w:trPr>
          <w:tblHeader/>
        </w:trPr>
        <w:tc>
          <w:tcPr>
            <w:tcW w:type="dxa" w:w="2400"/>
            <w:shd w:fill="16233B" w:color="auto" w:val="clear"/>
            <w:tcMar>
              <w:top w:type="dxa" w:w="40"/>
              <w:left w:type="dxa" w:w="90"/>
              <w:bottom w:type="dxa" w:w="40"/>
              <w:right w:type="dxa" w:w="90"/>
            </w:tcMar>
          </w:tcPr>
          <w:p>
            <w:pPr>
              <w:spacing w:after="0" w:line="230"/>
            </w:pPr>
            <w:r>
              <w:rPr>
                <w:rFonts w:ascii="Calibri" w:cs="Calibri" w:eastAsia="Calibri" w:hAnsi="Calibri"/>
                <w:b/>
                <w:bCs/>
                <w:color w:val="FFFFFF"/>
                <w:sz w:val="16"/>
                <w:szCs w:val="16"/>
              </w:rPr>
              <w:t xml:space="preserve">Variable exógena</w:t>
            </w:r>
          </w:p>
        </w:tc>
        <w:tc>
          <w:tcPr>
            <w:tcW w:type="dxa" w:w="2400"/>
            <w:shd w:fill="16233B" w:color="auto" w:val="clear"/>
            <w:tcMar>
              <w:top w:type="dxa" w:w="40"/>
              <w:left w:type="dxa" w:w="90"/>
              <w:bottom w:type="dxa" w:w="40"/>
              <w:right w:type="dxa" w:w="90"/>
            </w:tcMar>
          </w:tcPr>
          <w:p>
            <w:pPr>
              <w:spacing w:after="0" w:line="230"/>
            </w:pPr>
            <w:r>
              <w:rPr>
                <w:rFonts w:ascii="Calibri" w:cs="Calibri" w:eastAsia="Calibri" w:hAnsi="Calibri"/>
                <w:b/>
                <w:bCs/>
                <w:color w:val="FFFFFF"/>
                <w:sz w:val="16"/>
                <w:szCs w:val="16"/>
              </w:rPr>
              <w:t xml:space="preserve">Fuente</w:t>
            </w:r>
          </w:p>
        </w:tc>
        <w:tc>
          <w:tcPr>
            <w:tcW w:type="dxa" w:w="2500"/>
            <w:shd w:fill="16233B" w:color="auto" w:val="clear"/>
            <w:tcMar>
              <w:top w:type="dxa" w:w="40"/>
              <w:left w:type="dxa" w:w="90"/>
              <w:bottom w:type="dxa" w:w="40"/>
              <w:right w:type="dxa" w:w="90"/>
            </w:tcMar>
          </w:tcPr>
          <w:p>
            <w:pPr>
              <w:spacing w:after="0" w:line="230"/>
            </w:pPr>
            <w:r>
              <w:rPr>
                <w:rFonts w:ascii="Calibri" w:cs="Calibri" w:eastAsia="Calibri" w:hAnsi="Calibri"/>
                <w:b/>
                <w:bCs/>
                <w:color w:val="FFFFFF"/>
                <w:sz w:val="16"/>
                <w:szCs w:val="16"/>
              </w:rPr>
              <w:t xml:space="preserve">Base jurídica</w:t>
            </w:r>
          </w:p>
        </w:tc>
        <w:tc>
          <w:tcPr>
            <w:tcW w:type="dxa" w:w="2780"/>
            <w:shd w:fill="16233B" w:color="auto" w:val="clear"/>
            <w:tcMar>
              <w:top w:type="dxa" w:w="40"/>
              <w:left w:type="dxa" w:w="90"/>
              <w:bottom w:type="dxa" w:w="40"/>
              <w:right w:type="dxa" w:w="90"/>
            </w:tcMar>
          </w:tcPr>
          <w:p>
            <w:pPr>
              <w:spacing w:after="0" w:line="230"/>
            </w:pPr>
            <w:r>
              <w:rPr>
                <w:rFonts w:ascii="Calibri" w:cs="Calibri" w:eastAsia="Calibri" w:hAnsi="Calibri"/>
                <w:b/>
                <w:bCs/>
                <w:color w:val="FFFFFF"/>
                <w:sz w:val="16"/>
                <w:szCs w:val="16"/>
              </w:rPr>
              <w:t xml:space="preserve">Qué revela para la decisión</w:t>
            </w:r>
          </w:p>
        </w:tc>
      </w:tr>
      <w:tr>
        <w:tc>
          <w:tcPr>
            <w:tcW w:type="dxa" w:w="240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Créditos con otras entidades (saldo, tasa, comportamiento)</w:t>
            </w:r>
          </w:p>
        </w:tc>
        <w:tc>
          <w:tcPr>
            <w:tcW w:type="dxa" w:w="240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Centrales de información (buró)</w:t>
            </w:r>
          </w:p>
        </w:tc>
        <w:tc>
          <w:tcPr>
            <w:tcW w:type="dxa" w:w="250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Ley 1266 de 2008 + autorización</w:t>
            </w:r>
          </w:p>
        </w:tc>
        <w:tc>
          <w:tcPr>
            <w:tcW w:type="dxa" w:w="278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Endeudamiento real y la oportunidad de compra de cartera que ninguna base interna ve</w:t>
            </w:r>
          </w:p>
        </w:tc>
      </w:tr>
      <w:tr>
        <w:tc>
          <w:tcPr>
            <w:tcW w:type="dxa" w:w="240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Correo y canales de contacto verificados</w:t>
            </w:r>
          </w:p>
        </w:tc>
        <w:tc>
          <w:tcPr>
            <w:tcW w:type="dxa" w:w="240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Verificación desde el documento</w:t>
            </w:r>
          </w:p>
        </w:tc>
        <w:tc>
          <w:tcPr>
            <w:tcW w:type="dxa" w:w="250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Ley 1581 de 2012 + consentimiento</w:t>
            </w:r>
          </w:p>
        </w:tc>
        <w:tc>
          <w:tcPr>
            <w:tcW w:type="dxa" w:w="278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Habilita una entrega accionable</w:t>
            </w:r>
          </w:p>
        </w:tc>
      </w:tr>
      <w:tr>
        <w:tc>
          <w:tcPr>
            <w:tcW w:type="dxa" w:w="240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Redes y presencia digital (agregada)</w:t>
            </w:r>
          </w:p>
        </w:tc>
        <w:tc>
          <w:tcPr>
            <w:tcW w:type="dxa" w:w="240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Perfiles públicos</w:t>
            </w:r>
          </w:p>
        </w:tc>
        <w:tc>
          <w:tcPr>
            <w:tcW w:type="dxa" w:w="250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Ley 1581 + consentimiento revocable</w:t>
            </w:r>
          </w:p>
        </w:tc>
        <w:tc>
          <w:tcPr>
            <w:tcW w:type="dxa" w:w="278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Intereses y actividad económica; nunca contenido privado</w:t>
            </w:r>
          </w:p>
        </w:tc>
      </w:tr>
      <w:tr>
        <w:tc>
          <w:tcPr>
            <w:tcW w:type="dxa" w:w="240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Ingresos no bancarizados</w:t>
            </w:r>
          </w:p>
        </w:tc>
        <w:tc>
          <w:tcPr>
            <w:tcW w:type="dxa" w:w="240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Data alternativa (pasarelas, pagos)</w:t>
            </w:r>
          </w:p>
        </w:tc>
        <w:tc>
          <w:tcPr>
            <w:tcW w:type="dxa" w:w="250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Autorización del titular</w:t>
            </w:r>
          </w:p>
        </w:tc>
        <w:tc>
          <w:tcPr>
            <w:tcW w:type="dxa" w:w="278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Capacidad de independientes sin historial formal</w:t>
            </w:r>
          </w:p>
        </w:tc>
      </w:tr>
      <w:tr>
        <w:tc>
          <w:tcPr>
            <w:tcW w:type="dxa" w:w="240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Actividad económica registrada</w:t>
            </w:r>
          </w:p>
        </w:tc>
        <w:tc>
          <w:tcPr>
            <w:tcW w:type="dxa" w:w="240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Registros públicos (RUES)</w:t>
            </w:r>
          </w:p>
        </w:tc>
        <w:tc>
          <w:tcPr>
            <w:tcW w:type="dxa" w:w="250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Dato público</w:t>
            </w:r>
          </w:p>
        </w:tc>
        <w:tc>
          <w:tcPr>
            <w:tcW w:type="dxa" w:w="278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Formalidad no bancarizada; ajusta producto y modalidad</w:t>
            </w:r>
          </w:p>
        </w:tc>
      </w:tr>
      <w:tr>
        <w:tc>
          <w:tcPr>
            <w:tcW w:type="dxa" w:w="2400"/>
            <w:shd w:fill="EFF2F6" w:color="auto" w:val="clear"/>
            <w:tcMar>
              <w:top w:type="dxa" w:w="40"/>
              <w:left w:type="dxa" w:w="90"/>
              <w:bottom w:type="dxa" w:w="40"/>
              <w:right w:type="dxa" w:w="90"/>
            </w:tcMar>
          </w:tcPr>
          <w:p>
            <w:pPr>
              <w:spacing w:after="0" w:line="230"/>
            </w:pPr>
            <w:r>
              <w:rPr>
                <w:rFonts w:ascii="Calibri" w:cs="Calibri" w:eastAsia="Calibri" w:hAnsi="Calibri"/>
                <w:b/>
                <w:bCs/>
                <w:color w:val="26303F"/>
                <w:sz w:val="16"/>
                <w:szCs w:val="16"/>
              </w:rPr>
              <w:t xml:space="preserve">Franja horaria de conexión</w:t>
            </w:r>
          </w:p>
        </w:tc>
        <w:tc>
          <w:tcPr>
            <w:tcW w:type="dxa" w:w="240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Análisis de actividad digital</w:t>
            </w:r>
          </w:p>
        </w:tc>
        <w:tc>
          <w:tcPr>
            <w:tcW w:type="dxa" w:w="250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Relación de afiliación</w:t>
            </w:r>
          </w:p>
        </w:tc>
        <w:tc>
          <w:tcPr>
            <w:tcW w:type="dxa" w:w="278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La hora real de mayor apertura — cuándo enviar</w:t>
            </w:r>
          </w:p>
        </w:tc>
      </w:tr>
    </w:tbl>
    <w:p>
      <w:pPr>
        <w:spacing w:after="90" w:before="60" w:line="250"/>
      </w:pPr>
      <w:r>
        <w:rPr>
          <w:rFonts w:ascii="Calibri" w:cs="Calibri" w:eastAsia="Calibri" w:hAnsi="Calibri"/>
          <w:color w:val="1B1B1B"/>
          <w:sz w:val="18"/>
          <w:szCs w:val="18"/>
        </w:rPr>
        <w:t xml:space="preserve">Los datos pueden ser sintéticos o robustecidos por «un algo», como habilita el reto: ORIGEN opera sobre una </w:t>
      </w:r>
      <w:r>
        <w:rPr>
          <w:rFonts w:ascii="Calibri" w:cs="Calibri" w:eastAsia="Calibri" w:hAnsi="Calibri"/>
          <w:b/>
          <w:bCs/>
          <w:color w:val="1B1B1B"/>
          <w:sz w:val="18"/>
          <w:szCs w:val="18"/>
        </w:rPr>
        <w:t xml:space="preserve">población sintética calibrada</w:t>
      </w:r>
      <w:r>
        <w:rPr>
          <w:rFonts w:ascii="Calibri" w:cs="Calibri" w:eastAsia="Calibri" w:hAnsi="Calibri"/>
          <w:color w:val="1B1B1B"/>
          <w:sz w:val="18"/>
          <w:szCs w:val="18"/>
        </w:rPr>
        <w:t xml:space="preserve"> a la distribución real de categorías (A, B, C), intercambiable por los feeds reales sin cambiar la arquitectura. Cada decisión conserva las variables usadas y su base legal: es reproducible y defendible ante una auditoría de Habeas Data.</w:t>
      </w:r>
    </w:p>
    <w:p>
      <w:pPr>
        <w:pageBreakBefore/>
      </w:pPr>
    </w:p>
    <w:p>
      <w:pPr>
        <w:keepNext/>
        <w:pBdr>
          <w:bottom w:val="single" w:color="D8DCE3" w:sz="4" w:space="3"/>
        </w:pBdr>
        <w:spacing w:after="70" w:before="180" w:line="250"/>
      </w:pPr>
      <w:r>
        <w:rPr>
          <w:rFonts w:ascii="Calibri" w:cs="Calibri" w:eastAsia="Calibri" w:hAnsi="Calibri"/>
          <w:b/>
          <w:bCs/>
          <w:color w:val="B44A1E"/>
          <w:sz w:val="22"/>
          <w:szCs w:val="22"/>
        </w:rPr>
        <w:t xml:space="preserve">La arquitectura: nueve motores encadenados</w:t>
      </w:r>
    </w:p>
    <w:p>
      <w:pPr>
        <w:spacing w:after="80" w:before="0" w:line="250"/>
      </w:pPr>
      <w:r>
        <w:rPr>
          <w:rFonts w:ascii="Calibri" w:cs="Calibri" w:eastAsia="Calibri" w:hAnsi="Calibri"/>
          <w:color w:val="1B1B1B"/>
          <w:sz w:val="18"/>
          <w:szCs w:val="18"/>
        </w:rPr>
        <w:t xml:space="preserve">De una cédula a una decisión explicable. La marca </w:t>
      </w:r>
      <w:r>
        <w:rPr>
          <w:rFonts w:ascii="Calibri" w:cs="Calibri" w:eastAsia="Calibri" w:hAnsi="Calibri"/>
          <w:b/>
          <w:bCs/>
          <w:color w:val="2A7D72"/>
          <w:sz w:val="18"/>
          <w:szCs w:val="18"/>
        </w:rPr>
        <w:t xml:space="preserve">●</w:t>
      </w:r>
      <w:r>
        <w:rPr>
          <w:rFonts w:ascii="Calibri" w:cs="Calibri" w:eastAsia="Calibri" w:hAnsi="Calibri"/>
          <w:color w:val="1B1B1B"/>
          <w:sz w:val="18"/>
          <w:szCs w:val="18"/>
        </w:rPr>
        <w:t xml:space="preserve"> señala dónde interviene la inteligencia del sistema.</w:t>
      </w:r>
    </w:p>
    <w:tbl>
      <w:tblPr>
        <w:tblW w:type="dxa" w:w="9600"/>
        <w:tblBorders>
          <w:top w:val="single" w:color="C9CFD8" w:sz="2"/>
          <w:left w:val="single" w:color="C9CFD8" w:sz="2"/>
          <w:bottom w:val="single" w:color="C9CFD8" w:sz="2"/>
          <w:right w:val="single" w:color="C9CFD8" w:sz="2"/>
          <w:insideH w:val="single" w:color="C9CFD8" w:sz="2"/>
          <w:insideV w:val="single" w:color="C9CFD8" w:sz="2"/>
        </w:tblBorders>
      </w:tblPr>
      <w:tblGrid>
        <w:gridCol w:w="2900"/>
        <w:gridCol w:w="6000"/>
        <w:gridCol w:w="700"/>
      </w:tblGrid>
      <w:tr>
        <w:trPr>
          <w:tblHeader/>
        </w:trPr>
        <w:tc>
          <w:tcPr>
            <w:tcW w:type="dxa" w:w="2900"/>
            <w:shd w:fill="16233B" w:color="auto" w:val="clear"/>
            <w:tcMar>
              <w:top w:type="dxa" w:w="40"/>
              <w:left w:type="dxa" w:w="90"/>
              <w:bottom w:type="dxa" w:w="40"/>
              <w:right w:type="dxa" w:w="90"/>
            </w:tcMar>
          </w:tcPr>
          <w:p>
            <w:pPr>
              <w:spacing w:after="0" w:line="230"/>
            </w:pPr>
            <w:r>
              <w:rPr>
                <w:rFonts w:ascii="Calibri" w:cs="Calibri" w:eastAsia="Calibri" w:hAnsi="Calibri"/>
                <w:b/>
                <w:bCs/>
                <w:color w:val="FFFFFF"/>
                <w:sz w:val="16"/>
                <w:szCs w:val="16"/>
              </w:rPr>
              <w:t xml:space="preserve">Motor</w:t>
            </w:r>
          </w:p>
        </w:tc>
        <w:tc>
          <w:tcPr>
            <w:tcW w:type="dxa" w:w="6000"/>
            <w:shd w:fill="16233B" w:color="auto" w:val="clear"/>
            <w:tcMar>
              <w:top w:type="dxa" w:w="40"/>
              <w:left w:type="dxa" w:w="90"/>
              <w:bottom w:type="dxa" w:w="40"/>
              <w:right w:type="dxa" w:w="90"/>
            </w:tcMar>
          </w:tcPr>
          <w:p>
            <w:pPr>
              <w:spacing w:after="0" w:line="230"/>
            </w:pPr>
            <w:r>
              <w:rPr>
                <w:rFonts w:ascii="Calibri" w:cs="Calibri" w:eastAsia="Calibri" w:hAnsi="Calibri"/>
                <w:b/>
                <w:bCs/>
                <w:color w:val="FFFFFF"/>
                <w:sz w:val="16"/>
                <w:szCs w:val="16"/>
              </w:rPr>
              <w:t xml:space="preserve">Qué hace</w:t>
            </w:r>
          </w:p>
        </w:tc>
        <w:tc>
          <w:tcPr>
            <w:tcW w:type="dxa" w:w="700"/>
            <w:shd w:fill="16233B" w:color="auto" w:val="clear"/>
            <w:tcMar>
              <w:top w:type="dxa" w:w="40"/>
              <w:left w:type="dxa" w:w="90"/>
              <w:bottom w:type="dxa" w:w="40"/>
              <w:right w:type="dxa" w:w="90"/>
            </w:tcMar>
          </w:tcPr>
          <w:p>
            <w:pPr>
              <w:spacing w:after="0" w:line="230"/>
            </w:pPr>
            <w:r>
              <w:rPr>
                <w:rFonts w:ascii="Calibri" w:cs="Calibri" w:eastAsia="Calibri" w:hAnsi="Calibri"/>
                <w:b/>
                <w:bCs/>
                <w:color w:val="FFFFFF"/>
                <w:sz w:val="16"/>
                <w:szCs w:val="16"/>
              </w:rPr>
              <w:t xml:space="preserve">IA</w:t>
            </w:r>
          </w:p>
        </w:tc>
      </w:tr>
      <w:tr>
        <w:tc>
          <w:tcPr>
            <w:tcW w:type="dxa" w:w="290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Entrada · Cédula / lote</w:t>
            </w:r>
          </w:p>
        </w:tc>
        <w:tc>
          <w:tcPr>
            <w:tcW w:type="dxa" w:w="600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Recibe una cédula o un lote de hasta 5.000 afiliados</w:t>
            </w:r>
          </w:p>
        </w:tc>
        <w:tc>
          <w:tcPr>
            <w:tcW w:type="dxa" w:w="70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
            </w:r>
          </w:p>
        </w:tc>
      </w:tr>
      <w:tr>
        <w:tc>
          <w:tcPr>
            <w:tcW w:type="dxa" w:w="290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01 · Enriquecimiento</w:t>
            </w:r>
          </w:p>
        </w:tc>
        <w:tc>
          <w:tcPr>
            <w:tcW w:type="dxa" w:w="600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Devuelve las variables exógenas con su fuente y base legal</w:t>
            </w:r>
          </w:p>
        </w:tc>
        <w:tc>
          <w:tcPr>
            <w:tcW w:type="dxa" w:w="700"/>
            <w:shd w:fill="EFF2F6" w:color="auto" w:val="clear"/>
            <w:tcMar>
              <w:top w:type="dxa" w:w="40"/>
              <w:left w:type="dxa" w:w="90"/>
              <w:bottom w:type="dxa" w:w="40"/>
              <w:right w:type="dxa" w:w="90"/>
            </w:tcMar>
          </w:tcPr>
          <w:p>
            <w:pPr>
              <w:spacing w:after="0" w:line="230"/>
            </w:pPr>
            <w:r>
              <w:rPr>
                <w:rFonts w:ascii="Calibri" w:cs="Calibri" w:eastAsia="Calibri" w:hAnsi="Calibri"/>
                <w:b/>
                <w:bCs/>
                <w:color w:val="2A7D72"/>
                <w:sz w:val="18"/>
                <w:szCs w:val="18"/>
              </w:rPr>
              <w:t xml:space="preserve">●</w:t>
            </w:r>
          </w:p>
        </w:tc>
      </w:tr>
      <w:tr>
        <w:tc>
          <w:tcPr>
            <w:tcW w:type="dxa" w:w="290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02 · Trayectoria</w:t>
            </w:r>
          </w:p>
        </w:tc>
        <w:tc>
          <w:tcPr>
            <w:tcW w:type="dxa" w:w="600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Reconstruye el perfil base con todas las señales</w:t>
            </w:r>
          </w:p>
        </w:tc>
        <w:tc>
          <w:tcPr>
            <w:tcW w:type="dxa" w:w="70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
            </w:r>
          </w:p>
        </w:tc>
      </w:tr>
      <w:tr>
        <w:tc>
          <w:tcPr>
            <w:tcW w:type="dxa" w:w="290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03 · Momento de vida</w:t>
            </w:r>
          </w:p>
        </w:tc>
        <w:tc>
          <w:tcPr>
            <w:tcW w:type="dxa" w:w="600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Infiere la etapa y fija la cuota y el plazo prudentes</w:t>
            </w:r>
          </w:p>
        </w:tc>
        <w:tc>
          <w:tcPr>
            <w:tcW w:type="dxa" w:w="700"/>
            <w:shd w:fill="EFF2F6" w:color="auto" w:val="clear"/>
            <w:tcMar>
              <w:top w:type="dxa" w:w="40"/>
              <w:left w:type="dxa" w:w="90"/>
              <w:bottom w:type="dxa" w:w="40"/>
              <w:right w:type="dxa" w:w="90"/>
            </w:tcMar>
          </w:tcPr>
          <w:p>
            <w:pPr>
              <w:spacing w:after="0" w:line="230"/>
            </w:pPr>
            <w:r>
              <w:rPr>
                <w:rFonts w:ascii="Calibri" w:cs="Calibri" w:eastAsia="Calibri" w:hAnsi="Calibri"/>
                <w:b/>
                <w:bCs/>
                <w:color w:val="2A7D72"/>
                <w:sz w:val="18"/>
                <w:szCs w:val="18"/>
              </w:rPr>
              <w:t xml:space="preserve">●</w:t>
            </w:r>
          </w:p>
        </w:tc>
      </w:tr>
      <w:tr>
        <w:tc>
          <w:tcPr>
            <w:tcW w:type="dxa" w:w="290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04 · Deliberación</w:t>
            </w:r>
          </w:p>
        </w:tc>
        <w:tc>
          <w:tcPr>
            <w:tcW w:type="dxa" w:w="600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Puntúa los 7 productos con señales ponderadas</w:t>
            </w:r>
          </w:p>
        </w:tc>
        <w:tc>
          <w:tcPr>
            <w:tcW w:type="dxa" w:w="700"/>
            <w:tcMar>
              <w:top w:type="dxa" w:w="40"/>
              <w:left w:type="dxa" w:w="90"/>
              <w:bottom w:type="dxa" w:w="40"/>
              <w:right w:type="dxa" w:w="90"/>
            </w:tcMar>
          </w:tcPr>
          <w:p>
            <w:pPr>
              <w:spacing w:after="0" w:line="230"/>
            </w:pPr>
            <w:r>
              <w:rPr>
                <w:rFonts w:ascii="Calibri" w:cs="Calibri" w:eastAsia="Calibri" w:hAnsi="Calibri"/>
                <w:b/>
                <w:bCs/>
                <w:color w:val="2A7D72"/>
                <w:sz w:val="18"/>
                <w:szCs w:val="18"/>
              </w:rPr>
              <w:t xml:space="preserve">●</w:t>
            </w:r>
          </w:p>
        </w:tc>
      </w:tr>
      <w:tr>
        <w:tc>
          <w:tcPr>
            <w:tcW w:type="dxa" w:w="290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05 · Simulador</w:t>
            </w:r>
          </w:p>
        </w:tc>
        <w:tc>
          <w:tcPr>
            <w:tcW w:type="dxa" w:w="600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Proyecta tres caminos de bienestar a 6–12 meses</w:t>
            </w:r>
          </w:p>
        </w:tc>
        <w:tc>
          <w:tcPr>
            <w:tcW w:type="dxa" w:w="700"/>
            <w:shd w:fill="EFF2F6" w:color="auto" w:val="clear"/>
            <w:tcMar>
              <w:top w:type="dxa" w:w="40"/>
              <w:left w:type="dxa" w:w="90"/>
              <w:bottom w:type="dxa" w:w="40"/>
              <w:right w:type="dxa" w:w="90"/>
            </w:tcMar>
          </w:tcPr>
          <w:p>
            <w:pPr>
              <w:spacing w:after="0" w:line="230"/>
            </w:pPr>
            <w:r>
              <w:rPr>
                <w:rFonts w:ascii="Calibri" w:cs="Calibri" w:eastAsia="Calibri" w:hAnsi="Calibri"/>
                <w:b/>
                <w:bCs/>
                <w:color w:val="2A7D72"/>
                <w:sz w:val="18"/>
                <w:szCs w:val="18"/>
              </w:rPr>
              <w:t xml:space="preserve">●</w:t>
            </w:r>
          </w:p>
        </w:tc>
      </w:tr>
      <w:tr>
        <w:tc>
          <w:tcPr>
            <w:tcW w:type="dxa" w:w="290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06 · Explicabilidad</w:t>
            </w:r>
          </w:p>
        </w:tc>
        <w:tc>
          <w:tcPr>
            <w:tcW w:type="dxa" w:w="600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Compone la razón y los pesos auditables</w:t>
            </w:r>
          </w:p>
        </w:tc>
        <w:tc>
          <w:tcPr>
            <w:tcW w:type="dxa" w:w="70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
            </w:r>
          </w:p>
        </w:tc>
      </w:tr>
      <w:tr>
        <w:tc>
          <w:tcPr>
            <w:tcW w:type="dxa" w:w="290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07 · Comunicación</w:t>
            </w:r>
          </w:p>
        </w:tc>
        <w:tc>
          <w:tcPr>
            <w:tcW w:type="dxa" w:w="600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Genera el mensaje, elige canal y franja horaria</w:t>
            </w:r>
          </w:p>
        </w:tc>
        <w:tc>
          <w:tcPr>
            <w:tcW w:type="dxa" w:w="700"/>
            <w:shd w:fill="EFF2F6" w:color="auto" w:val="clear"/>
            <w:tcMar>
              <w:top w:type="dxa" w:w="40"/>
              <w:left w:type="dxa" w:w="90"/>
              <w:bottom w:type="dxa" w:w="40"/>
              <w:right w:type="dxa" w:w="90"/>
            </w:tcMar>
          </w:tcPr>
          <w:p>
            <w:pPr>
              <w:spacing w:after="0" w:line="230"/>
            </w:pPr>
            <w:r>
              <w:rPr>
                <w:rFonts w:ascii="Calibri" w:cs="Calibri" w:eastAsia="Calibri" w:hAnsi="Calibri"/>
                <w:b/>
                <w:bCs/>
                <w:color w:val="2A7D72"/>
                <w:sz w:val="18"/>
                <w:szCs w:val="18"/>
              </w:rPr>
              <w:t xml:space="preserve">●</w:t>
            </w:r>
          </w:p>
        </w:tc>
      </w:tr>
      <w:tr>
        <w:tc>
          <w:tcPr>
            <w:tcW w:type="dxa" w:w="290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Salida · Analista</w:t>
            </w:r>
          </w:p>
        </w:tc>
        <w:tc>
          <w:tcPr>
            <w:tcW w:type="dxa" w:w="600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Entrega la decisión, auditable de principio a fin</w:t>
            </w:r>
          </w:p>
        </w:tc>
        <w:tc>
          <w:tcPr>
            <w:tcW w:type="dxa" w:w="70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
            </w:r>
          </w:p>
        </w:tc>
      </w:tr>
    </w:tbl>
    <w:p>
      <w:pPr>
        <w:keepNext/>
        <w:pBdr>
          <w:bottom w:val="single" w:color="D8DCE3" w:sz="4" w:space="3"/>
        </w:pBdr>
        <w:spacing w:after="70" w:before="180" w:line="250"/>
      </w:pPr>
      <w:r>
        <w:rPr>
          <w:rFonts w:ascii="Calibri" w:cs="Calibri" w:eastAsia="Calibri" w:hAnsi="Calibri"/>
          <w:b/>
          <w:bCs/>
          <w:color w:val="B44A1E"/>
          <w:sz w:val="22"/>
          <w:szCs w:val="22"/>
        </w:rPr>
        <w:t xml:space="preserve">Dónde está la inteligencia</w:t>
      </w:r>
    </w:p>
    <w:p>
      <w:pPr>
        <w:spacing w:after="90" w:before="0" w:line="250"/>
      </w:pPr>
      <w:r>
        <w:rPr>
          <w:rFonts w:ascii="Calibri" w:cs="Calibri" w:eastAsia="Calibri" w:hAnsi="Calibri"/>
          <w:color w:val="1B1B1B"/>
          <w:sz w:val="18"/>
          <w:szCs w:val="18"/>
        </w:rPr>
        <w:t xml:space="preserve">Sin humo: cada técnica hace un trabajo concreto y verificable. </w:t>
      </w:r>
      <w:r>
        <w:rPr>
          <w:rFonts w:ascii="Calibri" w:cs="Calibri" w:eastAsia="Calibri" w:hAnsi="Calibri"/>
          <w:b/>
          <w:bCs/>
          <w:color w:val="1B1B1B"/>
          <w:sz w:val="18"/>
          <w:szCs w:val="18"/>
        </w:rPr>
        <w:t xml:space="preserve">Inferencia de momento de vida</w:t>
      </w:r>
      <w:r>
        <w:rPr>
          <w:rFonts w:ascii="Calibri" w:cs="Calibri" w:eastAsia="Calibri" w:hAnsi="Calibri"/>
          <w:color w:val="1B1B1B"/>
          <w:sz w:val="18"/>
          <w:szCs w:val="18"/>
        </w:rPr>
        <w:t xml:space="preserve"> (deduce la etapa desde la trayectoria); </w:t>
      </w:r>
      <w:r>
        <w:rPr>
          <w:rFonts w:ascii="Calibri" w:cs="Calibri" w:eastAsia="Calibri" w:hAnsi="Calibri"/>
          <w:b/>
          <w:bCs/>
          <w:color w:val="1B1B1B"/>
          <w:sz w:val="18"/>
          <w:szCs w:val="18"/>
        </w:rPr>
        <w:t xml:space="preserve">scoring ponderado explicable</w:t>
      </w:r>
      <w:r>
        <w:rPr>
          <w:rFonts w:ascii="Calibri" w:cs="Calibri" w:eastAsia="Calibri" w:hAnsi="Calibri"/>
          <w:color w:val="1B1B1B"/>
          <w:sz w:val="18"/>
          <w:szCs w:val="18"/>
        </w:rPr>
        <w:t xml:space="preserve"> (la deliberación puntúa los 7 productos, no es caja negra); </w:t>
      </w:r>
      <w:r>
        <w:rPr>
          <w:rFonts w:ascii="Calibri" w:cs="Calibri" w:eastAsia="Calibri" w:hAnsi="Calibri"/>
          <w:b/>
          <w:bCs/>
          <w:color w:val="1B1B1B"/>
          <w:sz w:val="18"/>
          <w:szCs w:val="18"/>
        </w:rPr>
        <w:t xml:space="preserve">simulación de escenarios</w:t>
      </w:r>
      <w:r>
        <w:rPr>
          <w:rFonts w:ascii="Calibri" w:cs="Calibri" w:eastAsia="Calibri" w:hAnsi="Calibri"/>
          <w:color w:val="1B1B1B"/>
          <w:sz w:val="18"/>
          <w:szCs w:val="18"/>
        </w:rPr>
        <w:t xml:space="preserve"> (proyecta el bienestar bajo tres caminos); y </w:t>
      </w:r>
      <w:r>
        <w:rPr>
          <w:rFonts w:ascii="Calibri" w:cs="Calibri" w:eastAsia="Calibri" w:hAnsi="Calibri"/>
          <w:b/>
          <w:bCs/>
          <w:color w:val="1B1B1B"/>
          <w:sz w:val="18"/>
          <w:szCs w:val="18"/>
        </w:rPr>
        <w:t xml:space="preserve">generación de lenguaje —un LLM—</w:t>
      </w:r>
      <w:r>
        <w:rPr>
          <w:rFonts w:ascii="Calibri" w:cs="Calibri" w:eastAsia="Calibri" w:hAnsi="Calibri"/>
          <w:color w:val="1B1B1B"/>
          <w:sz w:val="18"/>
          <w:szCs w:val="18"/>
        </w:rPr>
        <w:t xml:space="preserve"> que convierte la evidencia y los pesos en una explicación y un mensaje claros, en el tono de cada afiliado.</w:t>
      </w:r>
    </w:p>
    <w:p>
      <w:pPr>
        <w:pageBreakBefore/>
      </w:pPr>
    </w:p>
    <w:p>
      <w:pPr>
        <w:keepNext/>
        <w:pBdr>
          <w:bottom w:val="single" w:color="D8DCE3" w:sz="4" w:space="3"/>
        </w:pBdr>
        <w:spacing w:after="70" w:before="180" w:line="250"/>
      </w:pPr>
      <w:r>
        <w:rPr>
          <w:rFonts w:ascii="Calibri" w:cs="Calibri" w:eastAsia="Calibri" w:hAnsi="Calibri"/>
          <w:b/>
          <w:bCs/>
          <w:color w:val="B44A1E"/>
          <w:sz w:val="22"/>
          <w:szCs w:val="22"/>
        </w:rPr>
        <w:t xml:space="preserve">Cómo delibera ORIGEN</w:t>
      </w:r>
    </w:p>
    <w:p>
      <w:pPr>
        <w:spacing w:after="34" w:before="0" w:line="250"/>
      </w:pPr>
      <w:r>
        <w:rPr>
          <w:rFonts w:ascii="Calibri" w:cs="Calibri" w:eastAsia="Calibri" w:hAnsi="Calibri"/>
          <w:b/>
          <w:bCs/>
          <w:color w:val="1B1B1B"/>
          <w:sz w:val="18"/>
          <w:szCs w:val="18"/>
        </w:rPr>
        <w:t xml:space="preserve">1  Comprender. </w:t>
      </w:r>
      <w:r>
        <w:rPr>
          <w:rFonts w:ascii="Calibri" w:cs="Calibri" w:eastAsia="Calibri" w:hAnsi="Calibri"/>
          <w:color w:val="1B1B1B"/>
          <w:sz w:val="18"/>
          <w:szCs w:val="18"/>
        </w:rPr>
        <w:t xml:space="preserve">Reconstruye la Trayectoria desde los campos base de Colsubsidio + las variables exógenas.</w:t>
      </w:r>
    </w:p>
    <w:p>
      <w:pPr>
        <w:spacing w:after="34" w:before="0" w:line="250"/>
      </w:pPr>
      <w:r>
        <w:rPr>
          <w:rFonts w:ascii="Calibri" w:cs="Calibri" w:eastAsia="Calibri" w:hAnsi="Calibri"/>
          <w:b/>
          <w:bCs/>
          <w:color w:val="B44A1E"/>
          <w:sz w:val="18"/>
          <w:szCs w:val="18"/>
        </w:rPr>
        <w:t xml:space="preserve">2  Detectar el momento de vida. </w:t>
      </w:r>
      <w:r>
        <w:rPr>
          <w:rFonts w:ascii="Calibri" w:cs="Calibri" w:eastAsia="Calibri" w:hAnsi="Calibri"/>
          <w:color w:val="1B1B1B"/>
          <w:sz w:val="18"/>
          <w:szCs w:val="18"/>
        </w:rPr>
        <w:t xml:space="preserve">Infiere la etapa (inicio, formación de hogar, crianza, consolidación, madurez) y fija cuota y plazo antes de mirar producto.</w:t>
      </w:r>
    </w:p>
    <w:p>
      <w:pPr>
        <w:spacing w:after="34" w:before="0" w:line="250"/>
      </w:pPr>
      <w:r>
        <w:rPr>
          <w:rFonts w:ascii="Calibri" w:cs="Calibri" w:eastAsia="Calibri" w:hAnsi="Calibri"/>
          <w:b/>
          <w:bCs/>
          <w:color w:val="B44A1E"/>
          <w:sz w:val="18"/>
          <w:szCs w:val="18"/>
        </w:rPr>
        <w:t xml:space="preserve">3  Deliberar con pesos. </w:t>
      </w:r>
      <w:r>
        <w:rPr>
          <w:rFonts w:ascii="Calibri" w:cs="Calibri" w:eastAsia="Calibri" w:hAnsi="Calibri"/>
          <w:color w:val="1B1B1B"/>
          <w:sz w:val="18"/>
          <w:szCs w:val="18"/>
        </w:rPr>
        <w:t xml:space="preserve">Puntúa los siete productos con señales ponderadas, descarta los inviables por reglas y prioriza el de mayor bienestar, explicando por qué gana sobre el segundo.</w:t>
      </w:r>
    </w:p>
    <w:p>
      <w:pPr>
        <w:spacing w:after="34" w:before="0" w:line="250"/>
      </w:pPr>
      <w:r>
        <w:rPr>
          <w:rFonts w:ascii="Calibri" w:cs="Calibri" w:eastAsia="Calibri" w:hAnsi="Calibri"/>
          <w:b/>
          <w:bCs/>
          <w:color w:val="B44A1E"/>
          <w:sz w:val="18"/>
          <w:szCs w:val="18"/>
        </w:rPr>
        <w:t xml:space="preserve">4  Simular el bienestar. </w:t>
      </w:r>
      <w:r>
        <w:rPr>
          <w:rFonts w:ascii="Calibri" w:cs="Calibri" w:eastAsia="Calibri" w:hAnsi="Calibri"/>
          <w:color w:val="1B1B1B"/>
          <w:sz w:val="18"/>
          <w:szCs w:val="18"/>
        </w:rPr>
        <w:t xml:space="preserve">Proyecta tres caminos —prestar ahora · esperar · no prestar y acompañar— y elige el que deja mejor a la persona. De ahí, cuatro veredictos.</w:t>
      </w:r>
    </w:p>
    <w:p>
      <w:pPr>
        <w:spacing w:after="64" w:before="0" w:line="250"/>
      </w:pPr>
      <w:r>
        <w:rPr>
          <w:rFonts w:ascii="Calibri" w:cs="Calibri" w:eastAsia="Calibri" w:hAnsi="Calibri"/>
          <w:b/>
          <w:bCs/>
          <w:color w:val="1B1B1B"/>
          <w:sz w:val="18"/>
          <w:szCs w:val="18"/>
        </w:rPr>
        <w:t xml:space="preserve">5  Entregar. </w:t>
      </w:r>
      <w:r>
        <w:rPr>
          <w:rFonts w:ascii="Calibri" w:cs="Calibri" w:eastAsia="Calibri" w:hAnsi="Calibri"/>
          <w:color w:val="1B1B1B"/>
          <w:sz w:val="18"/>
          <w:szCs w:val="18"/>
        </w:rPr>
        <w:t xml:space="preserve">Canal por preferencia; envío en la franja horaria de mayor conexión de cada afiliado.</w:t>
      </w:r>
    </w:p>
    <w:p>
      <w:pPr>
        <w:spacing w:after="78" w:before="0" w:line="250"/>
      </w:pPr>
      <w:r>
        <w:rPr>
          <w:rFonts w:ascii="Calibri" w:cs="Calibri" w:eastAsia="Calibri" w:hAnsi="Calibri"/>
          <w:b/>
          <w:bCs/>
          <w:color w:val="1B1B1B"/>
          <w:sz w:val="18"/>
          <w:szCs w:val="18"/>
        </w:rPr>
        <w:t xml:space="preserve">Viabilidad con reglas oficiales.  </w:t>
      </w:r>
      <w:r>
        <w:rPr>
          <w:rFonts w:ascii="Calibri" w:cs="Calibri" w:eastAsia="Calibri" w:hAnsi="Calibri"/>
          <w:color w:val="1B1B1B"/>
          <w:sz w:val="18"/>
          <w:szCs w:val="18"/>
        </w:rPr>
        <w:t xml:space="preserve">Vinculación superior a 2 meses (6 si el contrato no es a término indefinido); capacidad por categoría (1 SMMLV → libranza hasta $1.500.000; $10.000.000 → hasta 3×); modalidad según la Ley 1527 de 2012; y tope de protección contra el sobreendeudamiento.</w:t>
      </w:r>
    </w:p>
    <w:tbl>
      <w:tblPr>
        <w:tblW w:type="dxa" w:w="10080"/>
        <w:tblBorders>
          <w:top w:val="single" w:color="C9CFD8" w:sz="2"/>
          <w:left w:val="single" w:color="C9CFD8" w:sz="2"/>
          <w:bottom w:val="single" w:color="C9CFD8" w:sz="2"/>
          <w:right w:val="single" w:color="C9CFD8" w:sz="2"/>
          <w:insideH w:val="single" w:color="C9CFD8" w:sz="2"/>
          <w:insideV w:val="single" w:color="C9CFD8" w:sz="2"/>
        </w:tblBorders>
      </w:tblPr>
      <w:tblGrid>
        <w:gridCol w:w="2700"/>
        <w:gridCol w:w="3800"/>
        <w:gridCol w:w="3580"/>
      </w:tblGrid>
      <w:tr>
        <w:trPr>
          <w:tblHeader/>
        </w:trPr>
        <w:tc>
          <w:tcPr>
            <w:tcW w:type="dxa" w:w="2700"/>
            <w:shd w:fill="16233B" w:color="auto" w:val="clear"/>
            <w:tcMar>
              <w:top w:type="dxa" w:w="40"/>
              <w:left w:type="dxa" w:w="90"/>
              <w:bottom w:type="dxa" w:w="40"/>
              <w:right w:type="dxa" w:w="90"/>
            </w:tcMar>
          </w:tcPr>
          <w:p>
            <w:pPr>
              <w:spacing w:after="0" w:line="230"/>
            </w:pPr>
            <w:r>
              <w:rPr>
                <w:rFonts w:ascii="Calibri" w:cs="Calibri" w:eastAsia="Calibri" w:hAnsi="Calibri"/>
                <w:b/>
                <w:bCs/>
                <w:color w:val="FFFFFF"/>
                <w:sz w:val="16"/>
                <w:szCs w:val="16"/>
              </w:rPr>
              <w:t xml:space="preserve">Producto</w:t>
            </w:r>
          </w:p>
        </w:tc>
        <w:tc>
          <w:tcPr>
            <w:tcW w:type="dxa" w:w="3800"/>
            <w:shd w:fill="16233B" w:color="auto" w:val="clear"/>
            <w:tcMar>
              <w:top w:type="dxa" w:w="40"/>
              <w:left w:type="dxa" w:w="90"/>
              <w:bottom w:type="dxa" w:w="40"/>
              <w:right w:type="dxa" w:w="90"/>
            </w:tcMar>
          </w:tcPr>
          <w:p>
            <w:pPr>
              <w:spacing w:after="0" w:line="230"/>
            </w:pPr>
            <w:r>
              <w:rPr>
                <w:rFonts w:ascii="Calibri" w:cs="Calibri" w:eastAsia="Calibri" w:hAnsi="Calibri"/>
                <w:b/>
                <w:bCs/>
                <w:color w:val="FFFFFF"/>
                <w:sz w:val="16"/>
                <w:szCs w:val="16"/>
              </w:rPr>
              <w:t xml:space="preserve">Señal dominante que lo activa</w:t>
            </w:r>
          </w:p>
        </w:tc>
        <w:tc>
          <w:tcPr>
            <w:tcW w:type="dxa" w:w="3580"/>
            <w:shd w:fill="16233B" w:color="auto" w:val="clear"/>
            <w:tcMar>
              <w:top w:type="dxa" w:w="40"/>
              <w:left w:type="dxa" w:w="90"/>
              <w:bottom w:type="dxa" w:w="40"/>
              <w:right w:type="dxa" w:w="90"/>
            </w:tcMar>
          </w:tcPr>
          <w:p>
            <w:pPr>
              <w:spacing w:after="0" w:line="230"/>
            </w:pPr>
            <w:r>
              <w:rPr>
                <w:rFonts w:ascii="Calibri" w:cs="Calibri" w:eastAsia="Calibri" w:hAnsi="Calibri"/>
                <w:b/>
                <w:bCs/>
                <w:color w:val="FFFFFF"/>
                <w:sz w:val="16"/>
                <w:szCs w:val="16"/>
              </w:rPr>
              <w:t xml:space="preserve">Referencia del portafolio</w:t>
            </w:r>
          </w:p>
        </w:tc>
      </w:tr>
      <w:tr>
        <w:tc>
          <w:tcPr>
            <w:tcW w:type="dxa" w:w="270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Cupo / consumo rotativo</w:t>
            </w:r>
          </w:p>
        </w:tc>
        <w:tc>
          <w:tcPr>
            <w:tcW w:type="dxa" w:w="380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Uso frecuente de la red; liquidez del día a día</w:t>
            </w:r>
          </w:p>
        </w:tc>
        <w:tc>
          <w:tcPr>
            <w:tcW w:type="dxa" w:w="358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$150.000 a $5.000.000, reutilizable</w:t>
            </w:r>
          </w:p>
        </w:tc>
      </w:tr>
      <w:tr>
        <w:tc>
          <w:tcPr>
            <w:tcW w:type="dxa" w:w="270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Compra de cartera</w:t>
            </w:r>
          </w:p>
        </w:tc>
        <w:tc>
          <w:tcPr>
            <w:tcW w:type="dxa" w:w="380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Créditos externos caros revelados por el buró</w:t>
            </w:r>
          </w:p>
        </w:tc>
        <w:tc>
          <w:tcPr>
            <w:tcW w:type="dxa" w:w="358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Unifica deudas a menor tasa y mejor plazo</w:t>
            </w:r>
          </w:p>
        </w:tc>
      </w:tr>
      <w:tr>
        <w:tc>
          <w:tcPr>
            <w:tcW w:type="dxa" w:w="270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Crédito hipotecario</w:t>
            </w:r>
          </w:p>
        </w:tc>
        <w:tc>
          <w:tcPr>
            <w:tcW w:type="dxa" w:w="380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Evento de vivienda + estabilidad sostenida</w:t>
            </w:r>
          </w:p>
        </w:tc>
        <w:tc>
          <w:tcPr>
            <w:tcW w:type="dxa" w:w="358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UVR o pesos, plazo según capacidad</w:t>
            </w:r>
          </w:p>
        </w:tc>
      </w:tr>
      <w:tr>
        <w:tc>
          <w:tcPr>
            <w:tcW w:type="dxa" w:w="270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Crédito educativo</w:t>
            </w:r>
          </w:p>
        </w:tc>
        <w:tc>
          <w:tcPr>
            <w:tcW w:type="dxa" w:w="380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Matrícula, formación o intención detectada</w:t>
            </w:r>
          </w:p>
        </w:tc>
        <w:tc>
          <w:tcPr>
            <w:tcW w:type="dxa" w:w="358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Cualquier nivel acreditado, plazos flexibles</w:t>
            </w:r>
          </w:p>
        </w:tc>
      </w:tr>
      <w:tr>
        <w:tc>
          <w:tcPr>
            <w:tcW w:type="dxa" w:w="270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Crédito Mujer</w:t>
            </w:r>
          </w:p>
        </w:tc>
        <w:tc>
          <w:tcPr>
            <w:tcW w:type="dxa" w:w="380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Afiliada con necesidad y perfil de cuidado</w:t>
            </w:r>
          </w:p>
        </w:tc>
        <w:tc>
          <w:tcPr>
            <w:tcW w:type="dxa" w:w="358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Montos adaptables + protección oncológica</w:t>
            </w:r>
          </w:p>
        </w:tc>
      </w:tr>
      <w:tr>
        <w:tc>
          <w:tcPr>
            <w:tcW w:type="dxa" w:w="270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Rotativo seguros e impuestos</w:t>
            </w:r>
          </w:p>
        </w:tc>
        <w:tc>
          <w:tcPr>
            <w:tcW w:type="dxa" w:w="380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Estacionalidad: impuestos, pólizas</w:t>
            </w:r>
          </w:p>
        </w:tc>
        <w:tc>
          <w:tcPr>
            <w:tcW w:type="dxa" w:w="358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Hasta $5.000.000, plazos hasta 11 meses</w:t>
            </w:r>
          </w:p>
        </w:tc>
      </w:tr>
      <w:tr>
        <w:tc>
          <w:tcPr>
            <w:tcW w:type="dxa" w:w="270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Crédito complementario</w:t>
            </w:r>
          </w:p>
        </w:tc>
        <w:tc>
          <w:tcPr>
            <w:tcW w:type="dxa" w:w="380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Necesidad puntual fuera de las líneas anteriores</w:t>
            </w:r>
          </w:p>
        </w:tc>
        <w:tc>
          <w:tcPr>
            <w:tcW w:type="dxa" w:w="358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Línea adicional del portafolio</w:t>
            </w:r>
          </w:p>
        </w:tc>
      </w:tr>
    </w:tbl>
    <w:p>
      <w:pPr>
        <w:pageBreakBefore/>
      </w:pPr>
    </w:p>
    <w:p>
      <w:pPr>
        <w:keepNext/>
        <w:pBdr>
          <w:bottom w:val="single" w:color="D8DCE3" w:sz="4" w:space="3"/>
        </w:pBdr>
        <w:spacing w:after="70" w:before="180" w:line="250"/>
      </w:pPr>
      <w:r>
        <w:rPr>
          <w:rFonts w:ascii="Calibri" w:cs="Calibri" w:eastAsia="Calibri" w:hAnsi="Calibri"/>
          <w:b/>
          <w:bCs/>
          <w:color w:val="B44A1E"/>
          <w:sz w:val="22"/>
          <w:szCs w:val="22"/>
        </w:rPr>
        <w:t xml:space="preserve">Así piensa ORIGEN</w:t>
      </w:r>
    </w:p>
    <w:p>
      <w:pPr>
        <w:spacing w:after="80" w:before="0" w:line="250"/>
      </w:pPr>
      <w:r>
        <w:rPr>
          <w:rFonts w:ascii="Calibri" w:cs="Calibri" w:eastAsia="Calibri" w:hAnsi="Calibri"/>
          <w:color w:val="1B1B1B"/>
          <w:sz w:val="18"/>
          <w:szCs w:val="18"/>
        </w:rPr>
        <w:t xml:space="preserve">No cómo calcula: cómo </w:t>
      </w:r>
      <w:r>
        <w:rPr>
          <w:rFonts w:ascii="Calibri" w:cs="Calibri" w:eastAsia="Calibri" w:hAnsi="Calibri"/>
          <w:i/>
          <w:iCs/>
          <w:color w:val="1B1B1B"/>
          <w:sz w:val="18"/>
          <w:szCs w:val="18"/>
        </w:rPr>
        <w:t xml:space="preserve">decide</w:t>
      </w:r>
      <w:r>
        <w:rPr>
          <w:rFonts w:ascii="Calibri" w:cs="Calibri" w:eastAsia="Calibri" w:hAnsi="Calibri"/>
          <w:color w:val="1B1B1B"/>
          <w:sz w:val="18"/>
          <w:szCs w:val="18"/>
        </w:rPr>
        <w:t xml:space="preserve">. Una misma afiliada —María Rodríguez, 38 años, 9 de afiliación— evaluada contra todo el portafolio. Puntaje de ajuste al perfil, de 0 a 100:</w:t>
      </w:r>
    </w:p>
    <w:tbl>
      <w:tblPr>
        <w:tblW w:type="dxa" w:w="9640"/>
        <w:tblBorders>
          <w:top w:val="none" w:color="FFFFFF" w:sz="0"/>
          <w:left w:val="none" w:color="FFFFFF" w:sz="0"/>
          <w:bottom w:val="none" w:color="FFFFFF" w:sz="0"/>
          <w:right w:val="none" w:color="FFFFFF" w:sz="0"/>
          <w:insideH w:val="none" w:color="FFFFFF" w:sz="0"/>
          <w:insideV w:val="none" w:color="FFFFFF" w:sz="0"/>
        </w:tblBorders>
      </w:tblPr>
      <w:tblGrid>
        <w:gridCol w:w="3000"/>
        <w:gridCol w:w="6000"/>
        <w:gridCol w:w="640"/>
      </w:tblGrid>
      <w:tr>
        <w:tc>
          <w:tcPr>
            <w:tcW w:type="dxa" w:w="3000"/>
            <w:tcMar>
              <w:top w:type="dxa" w:w="26"/>
              <w:left w:type="dxa" w:w="0"/>
              <w:bottom w:type="dxa" w:w="26"/>
              <w:right w:type="dxa" w:w="120"/>
            </w:tcMar>
            <w:vAlign w:val="center"/>
          </w:tcPr>
          <w:p>
            <w:pPr>
              <w:spacing w:after="0" w:line="220"/>
            </w:pPr>
            <w:r>
              <w:rPr>
                <w:rFonts w:ascii="Calibri" w:cs="Calibri" w:eastAsia="Calibri" w:hAnsi="Calibri"/>
                <w:b/>
                <w:bCs/>
                <w:color w:val="16233B"/>
                <w:sz w:val="17"/>
                <w:szCs w:val="17"/>
              </w:rPr>
              <w:t xml:space="preserve">Compra de cartera</w:t>
            </w:r>
          </w:p>
        </w:tc>
        <w:tc>
          <w:tcPr>
            <w:tcW w:type="dxa" w:w="6000"/>
            <w:tcMar>
              <w:top w:type="dxa" w:w="26"/>
              <w:left w:type="dxa" w:w="0"/>
              <w:bottom w:type="dxa" w:w="26"/>
              <w:right w:type="dxa" w:w="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6000"/>
              <w:gridCol w:w="0"/>
            </w:tblGrid>
            <w:tr>
              <w:tc>
                <w:tcPr>
                  <w:tcW w:type="dxa" w:w="6000"/>
                  <w:shd w:fill="B44A1E" w:color="auto" w:val="clear"/>
                  <w:tcMar>
                    <w:top w:type="dxa" w:w="0"/>
                    <w:left w:type="dxa" w:w="0"/>
                    <w:bottom w:type="dxa" w:w="0"/>
                    <w:right w:type="dxa" w:w="0"/>
                  </w:tcMar>
                </w:tcPr>
                <w:p>
                  <w:pPr>
                    <w:spacing w:after="0" w:line="150"/>
                  </w:pPr>
                  <w:r>
                    <w:rPr>
                      <w:rFonts w:ascii="Calibri" w:cs="Calibri" w:eastAsia="Calibri" w:hAnsi="Calibri"/>
                      <w:color w:val="1B1B1B"/>
                      <w:sz w:val="6"/>
                      <w:szCs w:val="6"/>
                    </w:rPr>
                    <w:t xml:space="preserve"> </w:t>
                  </w:r>
                </w:p>
              </w:tc>
              <w:tc>
                <w:tcPr>
                  <w:tcW w:type="dxa" w:w="0"/>
                  <w:shd w:fill="E7EAF0" w:color="auto" w:val="clear"/>
                  <w:tcMar>
                    <w:top w:type="dxa" w:w="0"/>
                    <w:left w:type="dxa" w:w="0"/>
                    <w:bottom w:type="dxa" w:w="0"/>
                    <w:right w:type="dxa" w:w="0"/>
                  </w:tcMar>
                </w:tcPr>
                <w:p>
                  <w:pPr>
                    <w:spacing w:after="0" w:line="150"/>
                  </w:pPr>
                  <w:r>
                    <w:rPr>
                      <w:rFonts w:ascii="Calibri" w:cs="Calibri" w:eastAsia="Calibri" w:hAnsi="Calibri"/>
                      <w:color w:val="1B1B1B"/>
                      <w:sz w:val="6"/>
                      <w:szCs w:val="6"/>
                    </w:rPr>
                    <w:t xml:space="preserve"> </w:t>
                  </w:r>
                </w:p>
              </w:tc>
            </w:tr>
          </w:tbl>
          <w:p/>
        </w:tc>
        <w:tc>
          <w:tcPr>
            <w:tcW w:type="dxa" w:w="640"/>
            <w:tcMar>
              <w:top w:type="dxa" w:w="26"/>
              <w:left w:type="dxa" w:w="80"/>
              <w:bottom w:type="dxa" w:w="26"/>
              <w:right w:type="dxa" w:w="0"/>
            </w:tcMar>
            <w:vAlign w:val="center"/>
          </w:tcPr>
          <w:p>
            <w:pPr>
              <w:spacing w:after="0" w:line="220"/>
            </w:pPr>
            <w:r>
              <w:rPr>
                <w:rFonts w:ascii="Calibri" w:cs="Calibri" w:eastAsia="Calibri" w:hAnsi="Calibri"/>
                <w:b/>
                <w:bCs/>
                <w:color w:val="B44A1E"/>
                <w:sz w:val="17"/>
                <w:szCs w:val="17"/>
              </w:rPr>
              <w:t xml:space="preserve">65</w:t>
            </w:r>
          </w:p>
        </w:tc>
      </w:tr>
      <w:tr>
        <w:tc>
          <w:tcPr>
            <w:tcW w:type="dxa" w:w="3000"/>
            <w:tcMar>
              <w:top w:type="dxa" w:w="26"/>
              <w:left w:type="dxa" w:w="0"/>
              <w:bottom w:type="dxa" w:w="26"/>
              <w:right w:type="dxa" w:w="120"/>
            </w:tcMar>
            <w:vAlign w:val="center"/>
          </w:tcPr>
          <w:p>
            <w:pPr>
              <w:spacing w:after="0" w:line="220"/>
            </w:pPr>
            <w:r>
              <w:rPr>
                <w:rFonts w:ascii="Calibri" w:cs="Calibri" w:eastAsia="Calibri" w:hAnsi="Calibri"/>
                <w:color w:val="3A4256"/>
                <w:sz w:val="17"/>
                <w:szCs w:val="17"/>
              </w:rPr>
              <w:t xml:space="preserve">Crédito Mujer</w:t>
            </w:r>
          </w:p>
        </w:tc>
        <w:tc>
          <w:tcPr>
            <w:tcW w:type="dxa" w:w="6000"/>
            <w:tcMar>
              <w:top w:type="dxa" w:w="26"/>
              <w:left w:type="dxa" w:w="0"/>
              <w:bottom w:type="dxa" w:w="26"/>
              <w:right w:type="dxa" w:w="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4985"/>
              <w:gridCol w:w="1015"/>
            </w:tblGrid>
            <w:tr>
              <w:tc>
                <w:tcPr>
                  <w:tcW w:type="dxa" w:w="4985"/>
                  <w:shd w:fill="6C7A99" w:color="auto" w:val="clear"/>
                  <w:tcMar>
                    <w:top w:type="dxa" w:w="0"/>
                    <w:left w:type="dxa" w:w="0"/>
                    <w:bottom w:type="dxa" w:w="0"/>
                    <w:right w:type="dxa" w:w="0"/>
                  </w:tcMar>
                </w:tcPr>
                <w:p>
                  <w:pPr>
                    <w:spacing w:after="0" w:line="150"/>
                  </w:pPr>
                  <w:r>
                    <w:rPr>
                      <w:rFonts w:ascii="Calibri" w:cs="Calibri" w:eastAsia="Calibri" w:hAnsi="Calibri"/>
                      <w:color w:val="1B1B1B"/>
                      <w:sz w:val="6"/>
                      <w:szCs w:val="6"/>
                    </w:rPr>
                    <w:t xml:space="preserve"> </w:t>
                  </w:r>
                </w:p>
              </w:tc>
              <w:tc>
                <w:tcPr>
                  <w:tcW w:type="dxa" w:w="1015"/>
                  <w:shd w:fill="E7EAF0" w:color="auto" w:val="clear"/>
                  <w:tcMar>
                    <w:top w:type="dxa" w:w="0"/>
                    <w:left w:type="dxa" w:w="0"/>
                    <w:bottom w:type="dxa" w:w="0"/>
                    <w:right w:type="dxa" w:w="0"/>
                  </w:tcMar>
                </w:tcPr>
                <w:p>
                  <w:pPr>
                    <w:spacing w:after="0" w:line="150"/>
                  </w:pPr>
                  <w:r>
                    <w:rPr>
                      <w:rFonts w:ascii="Calibri" w:cs="Calibri" w:eastAsia="Calibri" w:hAnsi="Calibri"/>
                      <w:color w:val="1B1B1B"/>
                      <w:sz w:val="6"/>
                      <w:szCs w:val="6"/>
                    </w:rPr>
                    <w:t xml:space="preserve"> </w:t>
                  </w:r>
                </w:p>
              </w:tc>
            </w:tr>
          </w:tbl>
          <w:p/>
        </w:tc>
        <w:tc>
          <w:tcPr>
            <w:tcW w:type="dxa" w:w="640"/>
            <w:tcMar>
              <w:top w:type="dxa" w:w="26"/>
              <w:left w:type="dxa" w:w="80"/>
              <w:bottom w:type="dxa" w:w="26"/>
              <w:right w:type="dxa" w:w="0"/>
            </w:tcMar>
            <w:vAlign w:val="center"/>
          </w:tcPr>
          <w:p>
            <w:pPr>
              <w:spacing w:after="0" w:line="220"/>
            </w:pPr>
            <w:r>
              <w:rPr>
                <w:rFonts w:ascii="Calibri" w:cs="Calibri" w:eastAsia="Calibri" w:hAnsi="Calibri"/>
                <w:color w:val="5A6472"/>
                <w:sz w:val="17"/>
                <w:szCs w:val="17"/>
              </w:rPr>
              <w:t xml:space="preserve">54</w:t>
            </w:r>
          </w:p>
        </w:tc>
      </w:tr>
      <w:tr>
        <w:tc>
          <w:tcPr>
            <w:tcW w:type="dxa" w:w="3000"/>
            <w:tcMar>
              <w:top w:type="dxa" w:w="26"/>
              <w:left w:type="dxa" w:w="0"/>
              <w:bottom w:type="dxa" w:w="26"/>
              <w:right w:type="dxa" w:w="120"/>
            </w:tcMar>
            <w:vAlign w:val="center"/>
          </w:tcPr>
          <w:p>
            <w:pPr>
              <w:spacing w:after="0" w:line="220"/>
            </w:pPr>
            <w:r>
              <w:rPr>
                <w:rFonts w:ascii="Calibri" w:cs="Calibri" w:eastAsia="Calibri" w:hAnsi="Calibri"/>
                <w:color w:val="3A4256"/>
                <w:sz w:val="17"/>
                <w:szCs w:val="17"/>
              </w:rPr>
              <w:t xml:space="preserve">Cupo rotativo</w:t>
            </w:r>
          </w:p>
        </w:tc>
        <w:tc>
          <w:tcPr>
            <w:tcW w:type="dxa" w:w="6000"/>
            <w:tcMar>
              <w:top w:type="dxa" w:w="26"/>
              <w:left w:type="dxa" w:w="0"/>
              <w:bottom w:type="dxa" w:w="26"/>
              <w:right w:type="dxa" w:w="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4800"/>
              <w:gridCol w:w="1200"/>
            </w:tblGrid>
            <w:tr>
              <w:tc>
                <w:tcPr>
                  <w:tcW w:type="dxa" w:w="4800"/>
                  <w:shd w:fill="6C7A99" w:color="auto" w:val="clear"/>
                  <w:tcMar>
                    <w:top w:type="dxa" w:w="0"/>
                    <w:left w:type="dxa" w:w="0"/>
                    <w:bottom w:type="dxa" w:w="0"/>
                    <w:right w:type="dxa" w:w="0"/>
                  </w:tcMar>
                </w:tcPr>
                <w:p>
                  <w:pPr>
                    <w:spacing w:after="0" w:line="150"/>
                  </w:pPr>
                  <w:r>
                    <w:rPr>
                      <w:rFonts w:ascii="Calibri" w:cs="Calibri" w:eastAsia="Calibri" w:hAnsi="Calibri"/>
                      <w:color w:val="1B1B1B"/>
                      <w:sz w:val="6"/>
                      <w:szCs w:val="6"/>
                    </w:rPr>
                    <w:t xml:space="preserve"> </w:t>
                  </w:r>
                </w:p>
              </w:tc>
              <w:tc>
                <w:tcPr>
                  <w:tcW w:type="dxa" w:w="1200"/>
                  <w:shd w:fill="E7EAF0" w:color="auto" w:val="clear"/>
                  <w:tcMar>
                    <w:top w:type="dxa" w:w="0"/>
                    <w:left w:type="dxa" w:w="0"/>
                    <w:bottom w:type="dxa" w:w="0"/>
                    <w:right w:type="dxa" w:w="0"/>
                  </w:tcMar>
                </w:tcPr>
                <w:p>
                  <w:pPr>
                    <w:spacing w:after="0" w:line="150"/>
                  </w:pPr>
                  <w:r>
                    <w:rPr>
                      <w:rFonts w:ascii="Calibri" w:cs="Calibri" w:eastAsia="Calibri" w:hAnsi="Calibri"/>
                      <w:color w:val="1B1B1B"/>
                      <w:sz w:val="6"/>
                      <w:szCs w:val="6"/>
                    </w:rPr>
                    <w:t xml:space="preserve"> </w:t>
                  </w:r>
                </w:p>
              </w:tc>
            </w:tr>
          </w:tbl>
          <w:p/>
        </w:tc>
        <w:tc>
          <w:tcPr>
            <w:tcW w:type="dxa" w:w="640"/>
            <w:tcMar>
              <w:top w:type="dxa" w:w="26"/>
              <w:left w:type="dxa" w:w="80"/>
              <w:bottom w:type="dxa" w:w="26"/>
              <w:right w:type="dxa" w:w="0"/>
            </w:tcMar>
            <w:vAlign w:val="center"/>
          </w:tcPr>
          <w:p>
            <w:pPr>
              <w:spacing w:after="0" w:line="220"/>
            </w:pPr>
            <w:r>
              <w:rPr>
                <w:rFonts w:ascii="Calibri" w:cs="Calibri" w:eastAsia="Calibri" w:hAnsi="Calibri"/>
                <w:color w:val="5A6472"/>
                <w:sz w:val="17"/>
                <w:szCs w:val="17"/>
              </w:rPr>
              <w:t xml:space="preserve">52</w:t>
            </w:r>
          </w:p>
        </w:tc>
      </w:tr>
      <w:tr>
        <w:tc>
          <w:tcPr>
            <w:tcW w:type="dxa" w:w="3000"/>
            <w:tcMar>
              <w:top w:type="dxa" w:w="26"/>
              <w:left w:type="dxa" w:w="0"/>
              <w:bottom w:type="dxa" w:w="26"/>
              <w:right w:type="dxa" w:w="120"/>
            </w:tcMar>
            <w:vAlign w:val="center"/>
          </w:tcPr>
          <w:p>
            <w:pPr>
              <w:spacing w:after="0" w:line="220"/>
            </w:pPr>
            <w:r>
              <w:rPr>
                <w:rFonts w:ascii="Calibri" w:cs="Calibri" w:eastAsia="Calibri" w:hAnsi="Calibri"/>
                <w:color w:val="3A4256"/>
                <w:sz w:val="17"/>
                <w:szCs w:val="17"/>
              </w:rPr>
              <w:t xml:space="preserve">Crédito hipotecario</w:t>
            </w:r>
          </w:p>
        </w:tc>
        <w:tc>
          <w:tcPr>
            <w:tcW w:type="dxa" w:w="6000"/>
            <w:tcMar>
              <w:top w:type="dxa" w:w="26"/>
              <w:left w:type="dxa" w:w="0"/>
              <w:bottom w:type="dxa" w:w="26"/>
              <w:right w:type="dxa" w:w="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3415"/>
              <w:gridCol w:w="2585"/>
            </w:tblGrid>
            <w:tr>
              <w:tc>
                <w:tcPr>
                  <w:tcW w:type="dxa" w:w="3415"/>
                  <w:shd w:fill="6C7A99" w:color="auto" w:val="clear"/>
                  <w:tcMar>
                    <w:top w:type="dxa" w:w="0"/>
                    <w:left w:type="dxa" w:w="0"/>
                    <w:bottom w:type="dxa" w:w="0"/>
                    <w:right w:type="dxa" w:w="0"/>
                  </w:tcMar>
                </w:tcPr>
                <w:p>
                  <w:pPr>
                    <w:spacing w:after="0" w:line="150"/>
                  </w:pPr>
                  <w:r>
                    <w:rPr>
                      <w:rFonts w:ascii="Calibri" w:cs="Calibri" w:eastAsia="Calibri" w:hAnsi="Calibri"/>
                      <w:color w:val="1B1B1B"/>
                      <w:sz w:val="6"/>
                      <w:szCs w:val="6"/>
                    </w:rPr>
                    <w:t xml:space="preserve"> </w:t>
                  </w:r>
                </w:p>
              </w:tc>
              <w:tc>
                <w:tcPr>
                  <w:tcW w:type="dxa" w:w="2585"/>
                  <w:shd w:fill="E7EAF0" w:color="auto" w:val="clear"/>
                  <w:tcMar>
                    <w:top w:type="dxa" w:w="0"/>
                    <w:left w:type="dxa" w:w="0"/>
                    <w:bottom w:type="dxa" w:w="0"/>
                    <w:right w:type="dxa" w:w="0"/>
                  </w:tcMar>
                </w:tcPr>
                <w:p>
                  <w:pPr>
                    <w:spacing w:after="0" w:line="150"/>
                  </w:pPr>
                  <w:r>
                    <w:rPr>
                      <w:rFonts w:ascii="Calibri" w:cs="Calibri" w:eastAsia="Calibri" w:hAnsi="Calibri"/>
                      <w:color w:val="1B1B1B"/>
                      <w:sz w:val="6"/>
                      <w:szCs w:val="6"/>
                    </w:rPr>
                    <w:t xml:space="preserve"> </w:t>
                  </w:r>
                </w:p>
              </w:tc>
            </w:tr>
          </w:tbl>
          <w:p/>
        </w:tc>
        <w:tc>
          <w:tcPr>
            <w:tcW w:type="dxa" w:w="640"/>
            <w:tcMar>
              <w:top w:type="dxa" w:w="26"/>
              <w:left w:type="dxa" w:w="80"/>
              <w:bottom w:type="dxa" w:w="26"/>
              <w:right w:type="dxa" w:w="0"/>
            </w:tcMar>
            <w:vAlign w:val="center"/>
          </w:tcPr>
          <w:p>
            <w:pPr>
              <w:spacing w:after="0" w:line="220"/>
            </w:pPr>
            <w:r>
              <w:rPr>
                <w:rFonts w:ascii="Calibri" w:cs="Calibri" w:eastAsia="Calibri" w:hAnsi="Calibri"/>
                <w:color w:val="5A6472"/>
                <w:sz w:val="17"/>
                <w:szCs w:val="17"/>
              </w:rPr>
              <w:t xml:space="preserve">37</w:t>
            </w:r>
          </w:p>
        </w:tc>
      </w:tr>
      <w:tr>
        <w:tc>
          <w:tcPr>
            <w:tcW w:type="dxa" w:w="3000"/>
            <w:tcMar>
              <w:top w:type="dxa" w:w="26"/>
              <w:left w:type="dxa" w:w="0"/>
              <w:bottom w:type="dxa" w:w="26"/>
              <w:right w:type="dxa" w:w="120"/>
            </w:tcMar>
            <w:vAlign w:val="center"/>
          </w:tcPr>
          <w:p>
            <w:pPr>
              <w:spacing w:after="0" w:line="220"/>
            </w:pPr>
            <w:r>
              <w:rPr>
                <w:rFonts w:ascii="Calibri" w:cs="Calibri" w:eastAsia="Calibri" w:hAnsi="Calibri"/>
                <w:color w:val="3A4256"/>
                <w:sz w:val="17"/>
                <w:szCs w:val="17"/>
              </w:rPr>
              <w:t xml:space="preserve">Crédito educativo</w:t>
            </w:r>
          </w:p>
        </w:tc>
        <w:tc>
          <w:tcPr>
            <w:tcW w:type="dxa" w:w="6000"/>
            <w:tcMar>
              <w:top w:type="dxa" w:w="26"/>
              <w:left w:type="dxa" w:w="0"/>
              <w:bottom w:type="dxa" w:w="26"/>
              <w:right w:type="dxa" w:w="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2769"/>
              <w:gridCol w:w="3231"/>
            </w:tblGrid>
            <w:tr>
              <w:tc>
                <w:tcPr>
                  <w:tcW w:type="dxa" w:w="2769"/>
                  <w:shd w:fill="6C7A99" w:color="auto" w:val="clear"/>
                  <w:tcMar>
                    <w:top w:type="dxa" w:w="0"/>
                    <w:left w:type="dxa" w:w="0"/>
                    <w:bottom w:type="dxa" w:w="0"/>
                    <w:right w:type="dxa" w:w="0"/>
                  </w:tcMar>
                </w:tcPr>
                <w:p>
                  <w:pPr>
                    <w:spacing w:after="0" w:line="150"/>
                  </w:pPr>
                  <w:r>
                    <w:rPr>
                      <w:rFonts w:ascii="Calibri" w:cs="Calibri" w:eastAsia="Calibri" w:hAnsi="Calibri"/>
                      <w:color w:val="1B1B1B"/>
                      <w:sz w:val="6"/>
                      <w:szCs w:val="6"/>
                    </w:rPr>
                    <w:t xml:space="preserve"> </w:t>
                  </w:r>
                </w:p>
              </w:tc>
              <w:tc>
                <w:tcPr>
                  <w:tcW w:type="dxa" w:w="3231"/>
                  <w:shd w:fill="E7EAF0" w:color="auto" w:val="clear"/>
                  <w:tcMar>
                    <w:top w:type="dxa" w:w="0"/>
                    <w:left w:type="dxa" w:w="0"/>
                    <w:bottom w:type="dxa" w:w="0"/>
                    <w:right w:type="dxa" w:w="0"/>
                  </w:tcMar>
                </w:tcPr>
                <w:p>
                  <w:pPr>
                    <w:spacing w:after="0" w:line="150"/>
                  </w:pPr>
                  <w:r>
                    <w:rPr>
                      <w:rFonts w:ascii="Calibri" w:cs="Calibri" w:eastAsia="Calibri" w:hAnsi="Calibri"/>
                      <w:color w:val="1B1B1B"/>
                      <w:sz w:val="6"/>
                      <w:szCs w:val="6"/>
                    </w:rPr>
                    <w:t xml:space="preserve"> </w:t>
                  </w:r>
                </w:p>
              </w:tc>
            </w:tr>
          </w:tbl>
          <w:p/>
        </w:tc>
        <w:tc>
          <w:tcPr>
            <w:tcW w:type="dxa" w:w="640"/>
            <w:tcMar>
              <w:top w:type="dxa" w:w="26"/>
              <w:left w:type="dxa" w:w="80"/>
              <w:bottom w:type="dxa" w:w="26"/>
              <w:right w:type="dxa" w:w="0"/>
            </w:tcMar>
            <w:vAlign w:val="center"/>
          </w:tcPr>
          <w:p>
            <w:pPr>
              <w:spacing w:after="0" w:line="220"/>
            </w:pPr>
            <w:r>
              <w:rPr>
                <w:rFonts w:ascii="Calibri" w:cs="Calibri" w:eastAsia="Calibri" w:hAnsi="Calibri"/>
                <w:color w:val="5A6472"/>
                <w:sz w:val="17"/>
                <w:szCs w:val="17"/>
              </w:rPr>
              <w:t xml:space="preserve">30</w:t>
            </w:r>
          </w:p>
        </w:tc>
      </w:tr>
      <w:tr>
        <w:tc>
          <w:tcPr>
            <w:tcW w:type="dxa" w:w="3000"/>
            <w:tcMar>
              <w:top w:type="dxa" w:w="26"/>
              <w:left w:type="dxa" w:w="0"/>
              <w:bottom w:type="dxa" w:w="26"/>
              <w:right w:type="dxa" w:w="120"/>
            </w:tcMar>
            <w:vAlign w:val="center"/>
          </w:tcPr>
          <w:p>
            <w:pPr>
              <w:spacing w:after="0" w:line="220"/>
            </w:pPr>
            <w:r>
              <w:rPr>
                <w:rFonts w:ascii="Calibri" w:cs="Calibri" w:eastAsia="Calibri" w:hAnsi="Calibri"/>
                <w:color w:val="3A4256"/>
                <w:sz w:val="17"/>
                <w:szCs w:val="17"/>
              </w:rPr>
              <w:t xml:space="preserve">Crédito complementario</w:t>
            </w:r>
          </w:p>
        </w:tc>
        <w:tc>
          <w:tcPr>
            <w:tcW w:type="dxa" w:w="6000"/>
            <w:tcMar>
              <w:top w:type="dxa" w:w="26"/>
              <w:left w:type="dxa" w:w="0"/>
              <w:bottom w:type="dxa" w:w="26"/>
              <w:right w:type="dxa" w:w="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1108"/>
              <w:gridCol w:w="4892"/>
            </w:tblGrid>
            <w:tr>
              <w:tc>
                <w:tcPr>
                  <w:tcW w:type="dxa" w:w="1108"/>
                  <w:shd w:fill="6C7A99" w:color="auto" w:val="clear"/>
                  <w:tcMar>
                    <w:top w:type="dxa" w:w="0"/>
                    <w:left w:type="dxa" w:w="0"/>
                    <w:bottom w:type="dxa" w:w="0"/>
                    <w:right w:type="dxa" w:w="0"/>
                  </w:tcMar>
                </w:tcPr>
                <w:p>
                  <w:pPr>
                    <w:spacing w:after="0" w:line="150"/>
                  </w:pPr>
                  <w:r>
                    <w:rPr>
                      <w:rFonts w:ascii="Calibri" w:cs="Calibri" w:eastAsia="Calibri" w:hAnsi="Calibri"/>
                      <w:color w:val="1B1B1B"/>
                      <w:sz w:val="6"/>
                      <w:szCs w:val="6"/>
                    </w:rPr>
                    <w:t xml:space="preserve"> </w:t>
                  </w:r>
                </w:p>
              </w:tc>
              <w:tc>
                <w:tcPr>
                  <w:tcW w:type="dxa" w:w="4892"/>
                  <w:shd w:fill="E7EAF0" w:color="auto" w:val="clear"/>
                  <w:tcMar>
                    <w:top w:type="dxa" w:w="0"/>
                    <w:left w:type="dxa" w:w="0"/>
                    <w:bottom w:type="dxa" w:w="0"/>
                    <w:right w:type="dxa" w:w="0"/>
                  </w:tcMar>
                </w:tcPr>
                <w:p>
                  <w:pPr>
                    <w:spacing w:after="0" w:line="150"/>
                  </w:pPr>
                  <w:r>
                    <w:rPr>
                      <w:rFonts w:ascii="Calibri" w:cs="Calibri" w:eastAsia="Calibri" w:hAnsi="Calibri"/>
                      <w:color w:val="1B1B1B"/>
                      <w:sz w:val="6"/>
                      <w:szCs w:val="6"/>
                    </w:rPr>
                    <w:t xml:space="preserve"> </w:t>
                  </w:r>
                </w:p>
              </w:tc>
            </w:tr>
          </w:tbl>
          <w:p/>
        </w:tc>
        <w:tc>
          <w:tcPr>
            <w:tcW w:type="dxa" w:w="640"/>
            <w:tcMar>
              <w:top w:type="dxa" w:w="26"/>
              <w:left w:type="dxa" w:w="80"/>
              <w:bottom w:type="dxa" w:w="26"/>
              <w:right w:type="dxa" w:w="0"/>
            </w:tcMar>
            <w:vAlign w:val="center"/>
          </w:tcPr>
          <w:p>
            <w:pPr>
              <w:spacing w:after="0" w:line="220"/>
            </w:pPr>
            <w:r>
              <w:rPr>
                <w:rFonts w:ascii="Calibri" w:cs="Calibri" w:eastAsia="Calibri" w:hAnsi="Calibri"/>
                <w:color w:val="5A6472"/>
                <w:sz w:val="17"/>
                <w:szCs w:val="17"/>
              </w:rPr>
              <w:t xml:space="preserve">12</w:t>
            </w:r>
          </w:p>
        </w:tc>
      </w:tr>
      <w:tr>
        <w:tc>
          <w:tcPr>
            <w:tcW w:type="dxa" w:w="3000"/>
            <w:tcMar>
              <w:top w:type="dxa" w:w="26"/>
              <w:left w:type="dxa" w:w="0"/>
              <w:bottom w:type="dxa" w:w="26"/>
              <w:right w:type="dxa" w:w="120"/>
            </w:tcMar>
            <w:vAlign w:val="center"/>
          </w:tcPr>
          <w:p>
            <w:pPr>
              <w:spacing w:after="0" w:line="220"/>
            </w:pPr>
            <w:r>
              <w:rPr>
                <w:rFonts w:ascii="Calibri" w:cs="Calibri" w:eastAsia="Calibri" w:hAnsi="Calibri"/>
                <w:color w:val="3A4256"/>
                <w:sz w:val="17"/>
                <w:szCs w:val="17"/>
              </w:rPr>
              <w:t xml:space="preserve">Rotativo seguros</w:t>
            </w:r>
          </w:p>
        </w:tc>
        <w:tc>
          <w:tcPr>
            <w:tcW w:type="dxa" w:w="6000"/>
            <w:tcMar>
              <w:top w:type="dxa" w:w="26"/>
              <w:left w:type="dxa" w:w="0"/>
              <w:bottom w:type="dxa" w:w="26"/>
              <w:right w:type="dxa" w:w="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6000"/>
            </w:tblGrid>
            <w:tr>
              <w:tc>
                <w:tcPr>
                  <w:tcW w:type="dxa" w:w="6000"/>
                  <w:shd w:fill="E7EAF0" w:color="auto" w:val="clear"/>
                  <w:tcMar>
                    <w:top w:type="dxa" w:w="0"/>
                    <w:left w:type="dxa" w:w="0"/>
                    <w:bottom w:type="dxa" w:w="0"/>
                    <w:right w:type="dxa" w:w="0"/>
                  </w:tcMar>
                </w:tcPr>
                <w:p>
                  <w:pPr>
                    <w:spacing w:after="0" w:line="150"/>
                  </w:pPr>
                  <w:r>
                    <w:rPr>
                      <w:rFonts w:ascii="Calibri" w:cs="Calibri" w:eastAsia="Calibri" w:hAnsi="Calibri"/>
                      <w:color w:val="1B1B1B"/>
                      <w:sz w:val="6"/>
                      <w:szCs w:val="6"/>
                    </w:rPr>
                    <w:t xml:space="preserve"> </w:t>
                  </w:r>
                </w:p>
              </w:tc>
            </w:tr>
          </w:tbl>
          <w:p/>
        </w:tc>
        <w:tc>
          <w:tcPr>
            <w:tcW w:type="dxa" w:w="640"/>
            <w:tcMar>
              <w:top w:type="dxa" w:w="26"/>
              <w:left w:type="dxa" w:w="80"/>
              <w:bottom w:type="dxa" w:w="26"/>
              <w:right w:type="dxa" w:w="0"/>
            </w:tcMar>
            <w:vAlign w:val="center"/>
          </w:tcPr>
          <w:p>
            <w:pPr>
              <w:spacing w:after="0" w:line="220"/>
            </w:pPr>
            <w:r>
              <w:rPr>
                <w:rFonts w:ascii="Calibri" w:cs="Calibri" w:eastAsia="Calibri" w:hAnsi="Calibri"/>
                <w:color w:val="5A6472"/>
                <w:sz w:val="17"/>
                <w:szCs w:val="17"/>
              </w:rPr>
              <w:t xml:space="preserve">0</w:t>
            </w:r>
          </w:p>
        </w:tc>
      </w:tr>
    </w:tbl>
    <w:p>
      <w:pPr>
        <w:spacing w:after="70"/>
      </w:pPr>
    </w:p>
    <w:p>
      <w:pPr>
        <w:spacing w:after="40" w:before="0" w:line="250"/>
      </w:pPr>
      <w:r>
        <w:rPr>
          <w:rFonts w:ascii="Calibri" w:cs="Calibri" w:eastAsia="Calibri" w:hAnsi="Calibri"/>
          <w:b/>
          <w:bCs/>
          <w:color w:val="B44A1E"/>
          <w:sz w:val="18"/>
          <w:szCs w:val="18"/>
        </w:rPr>
        <w:t xml:space="preserve">¿Por qué ganó Compra de cartera?  </w:t>
      </w:r>
      <w:r>
        <w:rPr>
          <w:rFonts w:ascii="Calibri" w:cs="Calibri" w:eastAsia="Calibri" w:hAnsi="Calibri"/>
          <w:color w:val="1B1B1B"/>
          <w:sz w:val="18"/>
          <w:szCs w:val="18"/>
        </w:rPr>
        <w:t xml:space="preserve">Porque reducir la deuda externa cara mejora el flujo libre más que otorgar un préstamo nuevo. Supera a la segunda opción, Crédito Mujer, por 11 puntos de ajuste.</w:t>
      </w:r>
    </w:p>
    <w:p>
      <w:pPr>
        <w:spacing w:after="40" w:before="0" w:line="250"/>
      </w:pPr>
      <w:r>
        <w:rPr>
          <w:rFonts w:ascii="Calibri" w:cs="Calibri" w:eastAsia="Calibri" w:hAnsi="Calibri"/>
          <w:b/>
          <w:bCs/>
          <w:color w:val="B44A1E"/>
          <w:sz w:val="18"/>
          <w:szCs w:val="18"/>
        </w:rPr>
        <w:t xml:space="preserve">¿Qué evidencia utilizó?  </w:t>
      </w:r>
      <w:r>
        <w:rPr>
          <w:rFonts w:ascii="Calibri" w:cs="Calibri" w:eastAsia="Calibri" w:hAnsi="Calibri"/>
          <w:color w:val="1B1B1B"/>
          <w:sz w:val="18"/>
          <w:szCs w:val="18"/>
        </w:rPr>
        <w:t xml:space="preserve">Buró (2 obligaciones externas caras), ingresos, antigüedad (9 años), edad y momento de vida (formación de hogar).</w:t>
      </w:r>
    </w:p>
    <w:p>
      <w:pPr>
        <w:spacing w:after="40" w:before="0" w:line="250"/>
      </w:pPr>
      <w:r>
        <w:rPr>
          <w:rFonts w:ascii="Calibri" w:cs="Calibri" w:eastAsia="Calibri" w:hAnsi="Calibri"/>
          <w:b/>
          <w:bCs/>
          <w:color w:val="B44A1E"/>
          <w:sz w:val="18"/>
          <w:szCs w:val="18"/>
        </w:rPr>
        <w:t xml:space="preserve">¿Qué pasa si esperamos?  </w:t>
      </w:r>
      <w:r>
        <w:rPr>
          <w:rFonts w:ascii="Calibri" w:cs="Calibri" w:eastAsia="Calibri" w:hAnsi="Calibri"/>
          <w:color w:val="1B1B1B"/>
          <w:sz w:val="18"/>
          <w:szCs w:val="18"/>
        </w:rPr>
        <w:t xml:space="preserve">Este es el momento: el camino «esperar» proyecta un bienestar menor (70) que prestar ahora (77). No hay ventaja en aplazar.</w:t>
      </w:r>
    </w:p>
    <w:p>
      <w:pPr>
        <w:spacing w:after="20" w:before="0" w:line="250"/>
      </w:pPr>
      <w:r>
        <w:rPr>
          <w:rFonts w:ascii="Calibri" w:cs="Calibri" w:eastAsia="Calibri" w:hAnsi="Calibri"/>
          <w:b/>
          <w:bCs/>
          <w:color w:val="B44A1E"/>
          <w:sz w:val="18"/>
          <w:szCs w:val="18"/>
        </w:rPr>
        <w:t xml:space="preserve">¿Y si le otorgáramos un consumo?  </w:t>
      </w:r>
      <w:r>
        <w:rPr>
          <w:rFonts w:ascii="Calibri" w:cs="Calibri" w:eastAsia="Calibri" w:hAnsi="Calibri"/>
          <w:color w:val="1B1B1B"/>
          <w:sz w:val="18"/>
          <w:szCs w:val="18"/>
        </w:rPr>
        <w:t xml:space="preserve">Aquí está lo que ningún recomendador ve: forzar un consumo —la oferta «obvia»— hundiría su bienestar proyectado </w:t>
      </w:r>
      <w:r>
        <w:rPr>
          <w:rFonts w:ascii="Calibri" w:cs="Calibri" w:eastAsia="Calibri" w:hAnsi="Calibri"/>
          <w:b/>
          <w:bCs/>
          <w:color w:val="9A2B2B"/>
          <w:sz w:val="18"/>
          <w:szCs w:val="18"/>
        </w:rPr>
        <w:t xml:space="preserve">de 77 a 25</w:t>
      </w:r>
      <w:r>
        <w:rPr>
          <w:rFonts w:ascii="Calibri" w:cs="Calibri" w:eastAsia="Calibri" w:hAnsi="Calibri"/>
          <w:color w:val="1B1B1B"/>
          <w:sz w:val="18"/>
          <w:szCs w:val="18"/>
        </w:rPr>
        <w:t xml:space="preserve"> y elevaría el riesgo de mora. Deuda sobre deuda cara. ORIGEN elige lo contrario: ordena primero, y protege.</w:t>
      </w:r>
    </w:p>
    <w:p>
      <w:pPr>
        <w:pBdr>
          <w:top w:val="single" w:color="D8DCE3" w:sz="6" w:space="5"/>
        </w:pBdr>
        <w:spacing w:after="10" w:before="30" w:line="250"/>
      </w:pPr>
      <w:r>
        <w:rPr>
          <w:rFonts w:ascii="Calibri" w:cs="Calibri" w:eastAsia="Calibri" w:hAnsi="Calibri"/>
          <w:i/>
          <w:iCs/>
          <w:color w:val="16233B"/>
          <w:sz w:val="18"/>
          <w:szCs w:val="18"/>
        </w:rPr>
        <w:t xml:space="preserve">La decisión rentable y obvia era la equivocada. ORIGEN la atrapa — y muestra por qué.</w:t>
      </w:r>
    </w:p>
    <w:p>
      <w:pPr>
        <w:pageBreakBefore/>
      </w:pPr>
    </w:p>
    <w:p>
      <w:pPr>
        <w:keepNext/>
        <w:pBdr>
          <w:bottom w:val="single" w:color="D8DCE3" w:sz="4" w:space="3"/>
        </w:pBdr>
        <w:spacing w:after="70" w:before="180" w:line="250"/>
      </w:pPr>
      <w:r>
        <w:rPr>
          <w:rFonts w:ascii="Calibri" w:cs="Calibri" w:eastAsia="Calibri" w:hAnsi="Calibri"/>
          <w:b/>
          <w:bCs/>
          <w:color w:val="B44A1E"/>
          <w:sz w:val="22"/>
          <w:szCs w:val="22"/>
        </w:rPr>
        <w:t xml:space="preserve">Tres afiliados, tres decisiones</w:t>
      </w:r>
    </w:p>
    <w:tbl>
      <w:tblPr>
        <w:tblW w:type="dxa" w:w="10080"/>
        <w:tblBorders>
          <w:top w:val="single" w:color="C9CFD8" w:sz="2"/>
          <w:left w:val="single" w:color="C9CFD8" w:sz="2"/>
          <w:bottom w:val="single" w:color="C9CFD8" w:sz="2"/>
          <w:right w:val="single" w:color="C9CFD8" w:sz="2"/>
          <w:insideH w:val="single" w:color="C9CFD8" w:sz="2"/>
          <w:insideV w:val="single" w:color="C9CFD8" w:sz="2"/>
        </w:tblBorders>
      </w:tblPr>
      <w:tblGrid>
        <w:gridCol w:w="1650"/>
        <w:gridCol w:w="2810"/>
        <w:gridCol w:w="2810"/>
        <w:gridCol w:w="2810"/>
      </w:tblGrid>
      <w:tr>
        <w:trPr>
          <w:tblHeader/>
        </w:trPr>
        <w:tc>
          <w:tcPr>
            <w:tcW w:type="dxa" w:w="1650"/>
            <w:shd w:fill="16233B" w:color="auto" w:val="clear"/>
            <w:tcMar>
              <w:top w:type="dxa" w:w="40"/>
              <w:left w:type="dxa" w:w="90"/>
              <w:bottom w:type="dxa" w:w="40"/>
              <w:right w:type="dxa" w:w="90"/>
            </w:tcMar>
          </w:tcPr>
          <w:p>
            <w:pPr>
              <w:spacing w:after="0" w:line="230"/>
            </w:pPr>
            <w:r>
              <w:rPr>
                <w:rFonts w:ascii="Calibri" w:cs="Calibri" w:eastAsia="Calibri" w:hAnsi="Calibri"/>
                <w:b/>
                <w:bCs/>
                <w:color w:val="FFFFFF"/>
                <w:sz w:val="16"/>
                <w:szCs w:val="16"/>
              </w:rPr>
              <w:t xml:space="preserve"/>
            </w:r>
          </w:p>
        </w:tc>
        <w:tc>
          <w:tcPr>
            <w:tcW w:type="dxa" w:w="2810"/>
            <w:shd w:fill="16233B" w:color="auto" w:val="clear"/>
            <w:tcMar>
              <w:top w:type="dxa" w:w="40"/>
              <w:left w:type="dxa" w:w="90"/>
              <w:bottom w:type="dxa" w:w="40"/>
              <w:right w:type="dxa" w:w="90"/>
            </w:tcMar>
          </w:tcPr>
          <w:p>
            <w:pPr>
              <w:spacing w:after="0" w:line="230"/>
            </w:pPr>
            <w:r>
              <w:rPr>
                <w:rFonts w:ascii="Calibri" w:cs="Calibri" w:eastAsia="Calibri" w:hAnsi="Calibri"/>
                <w:b/>
                <w:bCs/>
                <w:color w:val="FFFFFF"/>
                <w:sz w:val="16"/>
                <w:szCs w:val="16"/>
              </w:rPr>
              <w:t xml:space="preserve">María Rodríguez · 38</w:t>
            </w:r>
          </w:p>
        </w:tc>
        <w:tc>
          <w:tcPr>
            <w:tcW w:type="dxa" w:w="2810"/>
            <w:shd w:fill="16233B" w:color="auto" w:val="clear"/>
            <w:tcMar>
              <w:top w:type="dxa" w:w="40"/>
              <w:left w:type="dxa" w:w="90"/>
              <w:bottom w:type="dxa" w:w="40"/>
              <w:right w:type="dxa" w:w="90"/>
            </w:tcMar>
          </w:tcPr>
          <w:p>
            <w:pPr>
              <w:spacing w:after="0" w:line="230"/>
            </w:pPr>
            <w:r>
              <w:rPr>
                <w:rFonts w:ascii="Calibri" w:cs="Calibri" w:eastAsia="Calibri" w:hAnsi="Calibri"/>
                <w:b/>
                <w:bCs/>
                <w:color w:val="FFFFFF"/>
                <w:sz w:val="16"/>
                <w:szCs w:val="16"/>
              </w:rPr>
              <w:t xml:space="preserve">Ana Torres · 29</w:t>
            </w:r>
          </w:p>
        </w:tc>
        <w:tc>
          <w:tcPr>
            <w:tcW w:type="dxa" w:w="2810"/>
            <w:shd w:fill="16233B" w:color="auto" w:val="clear"/>
            <w:tcMar>
              <w:top w:type="dxa" w:w="40"/>
              <w:left w:type="dxa" w:w="90"/>
              <w:bottom w:type="dxa" w:w="40"/>
              <w:right w:type="dxa" w:w="90"/>
            </w:tcMar>
          </w:tcPr>
          <w:p>
            <w:pPr>
              <w:spacing w:after="0" w:line="230"/>
            </w:pPr>
            <w:r>
              <w:rPr>
                <w:rFonts w:ascii="Calibri" w:cs="Calibri" w:eastAsia="Calibri" w:hAnsi="Calibri"/>
                <w:b/>
                <w:bCs/>
                <w:color w:val="FFFFFF"/>
                <w:sz w:val="16"/>
                <w:szCs w:val="16"/>
              </w:rPr>
              <w:t xml:space="preserve">Carlos Gómez · 45</w:t>
            </w:r>
          </w:p>
        </w:tc>
      </w:tr>
      <w:tr>
        <w:tc>
          <w:tcPr>
            <w:tcW w:type="dxa" w:w="1650"/>
            <w:tcMar>
              <w:top w:type="dxa" w:w="40"/>
              <w:left w:type="dxa" w:w="90"/>
              <w:bottom w:type="dxa" w:w="40"/>
              <w:right w:type="dxa" w:w="90"/>
            </w:tcMar>
          </w:tcPr>
          <w:p>
            <w:pPr>
              <w:spacing w:after="0" w:line="230"/>
            </w:pPr>
            <w:r>
              <w:rPr>
                <w:rFonts w:ascii="Calibri" w:cs="Calibri" w:eastAsia="Calibri" w:hAnsi="Calibri"/>
                <w:b/>
                <w:bCs/>
                <w:color w:val="26303F"/>
                <w:sz w:val="16"/>
                <w:szCs w:val="16"/>
              </w:rPr>
              <w:t xml:space="preserve">Exógeno revelado</w:t>
            </w:r>
          </w:p>
        </w:tc>
        <w:tc>
          <w:tcPr>
            <w:tcW w:type="dxa" w:w="281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2 créditos externos caros (buró); 9 años de estabilidad</w:t>
            </w:r>
          </w:p>
        </w:tc>
        <w:tc>
          <w:tcPr>
            <w:tcW w:type="dxa" w:w="281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Interés sostenido en formación; capacidad de pago</w:t>
            </w:r>
          </w:p>
        </w:tc>
        <w:tc>
          <w:tcPr>
            <w:tcW w:type="dxa" w:w="281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Endeudamiento elevado (buró); carga alta; recuperable</w:t>
            </w:r>
          </w:p>
        </w:tc>
      </w:tr>
      <w:tr>
        <w:tc>
          <w:tcPr>
            <w:tcW w:type="dxa" w:w="1650"/>
            <w:shd w:fill="EFF2F6" w:color="auto" w:val="clear"/>
            <w:tcMar>
              <w:top w:type="dxa" w:w="40"/>
              <w:left w:type="dxa" w:w="90"/>
              <w:bottom w:type="dxa" w:w="40"/>
              <w:right w:type="dxa" w:w="90"/>
            </w:tcMar>
          </w:tcPr>
          <w:p>
            <w:pPr>
              <w:spacing w:after="0" w:line="230"/>
            </w:pPr>
            <w:r>
              <w:rPr>
                <w:rFonts w:ascii="Calibri" w:cs="Calibri" w:eastAsia="Calibri" w:hAnsi="Calibri"/>
                <w:b/>
                <w:bCs/>
                <w:color w:val="26303F"/>
                <w:sz w:val="16"/>
                <w:szCs w:val="16"/>
              </w:rPr>
              <w:t xml:space="preserve">Deliberación</w:t>
            </w:r>
          </w:p>
        </w:tc>
        <w:tc>
          <w:tcPr>
            <w:tcW w:type="dxa" w:w="281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7 evaluados → compra de cartera</w:t>
            </w:r>
          </w:p>
        </w:tc>
        <w:tc>
          <w:tcPr>
            <w:tcW w:type="dxa" w:w="281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7 evaluados → educativo</w:t>
            </w:r>
          </w:p>
        </w:tc>
        <w:tc>
          <w:tcPr>
            <w:tcW w:type="dxa" w:w="281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7 evaluados → ningún crédito mejora hoy</w:t>
            </w:r>
          </w:p>
        </w:tc>
      </w:tr>
      <w:tr>
        <w:tc>
          <w:tcPr>
            <w:tcW w:type="dxa" w:w="1650"/>
            <w:tcMar>
              <w:top w:type="dxa" w:w="40"/>
              <w:left w:type="dxa" w:w="90"/>
              <w:bottom w:type="dxa" w:w="40"/>
              <w:right w:type="dxa" w:w="90"/>
            </w:tcMar>
          </w:tcPr>
          <w:p>
            <w:pPr>
              <w:spacing w:after="0" w:line="230"/>
            </w:pPr>
            <w:r>
              <w:rPr>
                <w:rFonts w:ascii="Calibri" w:cs="Calibri" w:eastAsia="Calibri" w:hAnsi="Calibri"/>
                <w:b/>
                <w:bCs/>
                <w:color w:val="26303F"/>
                <w:sz w:val="16"/>
                <w:szCs w:val="16"/>
              </w:rPr>
              <w:t xml:space="preserve">Decisión</w:t>
            </w:r>
          </w:p>
        </w:tc>
        <w:tc>
          <w:tcPr>
            <w:tcW w:type="dxa" w:w="281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Compra de cartera: unifica y baja la cuota</w:t>
            </w:r>
          </w:p>
        </w:tc>
        <w:tc>
          <w:tcPr>
            <w:tcW w:type="dxa" w:w="281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Crédito educativo: acompaña su objetivo</w:t>
            </w:r>
          </w:p>
        </w:tc>
        <w:tc>
          <w:tcPr>
            <w:tcW w:type="dxa" w:w="281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Ruta de Bienestar: recalifica en ~6 meses</w:t>
            </w:r>
          </w:p>
        </w:tc>
      </w:tr>
      <w:tr>
        <w:tc>
          <w:tcPr>
            <w:tcW w:type="dxa" w:w="1650"/>
            <w:shd w:fill="EFF2F6" w:color="auto" w:val="clear"/>
            <w:tcMar>
              <w:top w:type="dxa" w:w="40"/>
              <w:left w:type="dxa" w:w="90"/>
              <w:bottom w:type="dxa" w:w="40"/>
              <w:right w:type="dxa" w:w="90"/>
            </w:tcMar>
          </w:tcPr>
          <w:p>
            <w:pPr>
              <w:spacing w:after="0" w:line="230"/>
            </w:pPr>
            <w:r>
              <w:rPr>
                <w:rFonts w:ascii="Calibri" w:cs="Calibri" w:eastAsia="Calibri" w:hAnsi="Calibri"/>
                <w:b/>
                <w:bCs/>
                <w:color w:val="26303F"/>
                <w:sz w:val="16"/>
                <w:szCs w:val="16"/>
              </w:rPr>
              <w:t xml:space="preserve">Canal y franja</w:t>
            </w:r>
          </w:p>
        </w:tc>
        <w:tc>
          <w:tcPr>
            <w:tcW w:type="dxa" w:w="281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Push + App · domingo 7:30 p. m.</w:t>
            </w:r>
          </w:p>
        </w:tc>
        <w:tc>
          <w:tcPr>
            <w:tcW w:type="dxa" w:w="281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Correo + App · su ventana de conexión</w:t>
            </w:r>
          </w:p>
        </w:tc>
        <w:tc>
          <w:tcPr>
            <w:tcW w:type="dxa" w:w="281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Asesor humano · con fecha cierta de retorno</w:t>
            </w:r>
          </w:p>
        </w:tc>
      </w:tr>
    </w:tbl>
    <w:p>
      <w:pPr>
        <w:keepNext/>
        <w:pBdr>
          <w:bottom w:val="single" w:color="D8DCE3" w:sz="4" w:space="3"/>
        </w:pBdr>
        <w:spacing w:after="70" w:before="180" w:line="250"/>
      </w:pPr>
      <w:r>
        <w:rPr>
          <w:rFonts w:ascii="Calibri" w:cs="Calibri" w:eastAsia="Calibri" w:hAnsi="Calibri"/>
          <w:b/>
          <w:bCs/>
          <w:color w:val="B44A1E"/>
          <w:sz w:val="22"/>
          <w:szCs w:val="22"/>
        </w:rPr>
        <w:t xml:space="preserve">Dos experiencias sobre la misma decisión</w:t>
      </w:r>
    </w:p>
    <w:p>
      <w:pPr>
        <w:spacing w:after="34" w:before="0" w:line="250"/>
      </w:pPr>
      <w:r>
        <w:rPr>
          <w:rFonts w:ascii="Calibri" w:cs="Calibri" w:eastAsia="Calibri" w:hAnsi="Calibri"/>
          <w:b/>
          <w:bCs/>
          <w:color w:val="B44A1E"/>
          <w:sz w:val="18"/>
          <w:szCs w:val="18"/>
        </w:rPr>
        <w:t xml:space="preserve">Para el analista</w:t>
      </w:r>
      <w:r>
        <w:rPr>
          <w:rFonts w:ascii="Calibri" w:cs="Calibri" w:eastAsia="Calibri" w:hAnsi="Calibri"/>
          <w:color w:val="1B1B1B"/>
          <w:sz w:val="18"/>
          <w:szCs w:val="18"/>
        </w:rPr>
        <w:t xml:space="preserve"> — una Ficha de Decisión con el producto recomendado, la confianza, las variables influyentes con su peso, la evidencia, la explicación y el canal y momento sugeridos. Ranking auditable de las siete alternativas.</w:t>
      </w:r>
    </w:p>
    <w:p>
      <w:pPr>
        <w:spacing w:after="90" w:before="0" w:line="250"/>
      </w:pPr>
      <w:r>
        <w:rPr>
          <w:rFonts w:ascii="Calibri" w:cs="Calibri" w:eastAsia="Calibri" w:hAnsi="Calibri"/>
          <w:b/>
          <w:bCs/>
          <w:color w:val="B44A1E"/>
          <w:sz w:val="18"/>
          <w:szCs w:val="18"/>
        </w:rPr>
        <w:t xml:space="preserve">Para el afiliado</w:t>
      </w:r>
      <w:r>
        <w:rPr>
          <w:rFonts w:ascii="Calibri" w:cs="Calibri" w:eastAsia="Calibri" w:hAnsi="Calibri"/>
          <w:color w:val="1B1B1B"/>
          <w:sz w:val="18"/>
          <w:szCs w:val="18"/>
        </w:rPr>
        <w:t xml:space="preserve"> — un mensaje personalizado, la ruta «así llegamos a esta recomendación», una simulación de cómo cambian sus cuotas y qué hacer si tiene dificultades para pagar.</w:t>
      </w:r>
    </w:p>
    <w:p>
      <w:pPr>
        <w:keepNext/>
        <w:pBdr>
          <w:bottom w:val="single" w:color="D8DCE3" w:sz="4" w:space="3"/>
        </w:pBdr>
        <w:spacing w:after="70" w:before="180" w:line="250"/>
      </w:pPr>
      <w:r>
        <w:rPr>
          <w:rFonts w:ascii="Calibri" w:cs="Calibri" w:eastAsia="Calibri" w:hAnsi="Calibri"/>
          <w:b/>
          <w:bCs/>
          <w:color w:val="B44A1E"/>
          <w:sz w:val="22"/>
          <w:szCs w:val="22"/>
        </w:rPr>
        <w:t xml:space="preserve">Ruta de Bienestar Financiero</w:t>
      </w:r>
    </w:p>
    <w:p>
      <w:pPr>
        <w:spacing w:after="90" w:before="0" w:line="250"/>
      </w:pPr>
      <w:r>
        <w:rPr>
          <w:rFonts w:ascii="Calibri" w:cs="Calibri" w:eastAsia="Calibri" w:hAnsi="Calibri"/>
          <w:color w:val="1B1B1B"/>
          <w:sz w:val="18"/>
          <w:szCs w:val="18"/>
        </w:rPr>
        <w:t xml:space="preserve">Cuando prestar no beneficia, ORIGEN no coloca: propone un plan —educación financiera, reducción de endeudamiento— y programa una nueva evaluación en ~6 meses. Es el atrevimiento que ningún clasificador tiene: decir «hoy no», y demostrar por qué esa decisión deja mejor a la persona.</w:t>
      </w:r>
    </w:p>
    <w:p>
      <w:pPr>
        <w:keepNext/>
        <w:pBdr>
          <w:bottom w:val="single" w:color="D8DCE3" w:sz="4" w:space="3"/>
        </w:pBdr>
        <w:spacing w:after="70" w:before="180" w:line="250"/>
      </w:pPr>
      <w:r>
        <w:rPr>
          <w:rFonts w:ascii="Calibri" w:cs="Calibri" w:eastAsia="Calibri" w:hAnsi="Calibri"/>
          <w:b/>
          <w:bCs/>
          <w:color w:val="B44A1E"/>
          <w:sz w:val="22"/>
          <w:szCs w:val="22"/>
        </w:rPr>
        <w:t xml:space="preserve">Cumplimiento del reto</w:t>
      </w:r>
    </w:p>
    <w:tbl>
      <w:tblPr>
        <w:tblW w:type="dxa" w:w="10080"/>
        <w:tblBorders>
          <w:top w:val="single" w:color="C9CFD8" w:sz="2"/>
          <w:left w:val="single" w:color="C9CFD8" w:sz="2"/>
          <w:bottom w:val="single" w:color="C9CFD8" w:sz="2"/>
          <w:right w:val="single" w:color="C9CFD8" w:sz="2"/>
          <w:insideH w:val="single" w:color="C9CFD8" w:sz="2"/>
          <w:insideV w:val="single" w:color="C9CFD8" w:sz="2"/>
        </w:tblBorders>
      </w:tblPr>
      <w:tblGrid>
        <w:gridCol w:w="4300"/>
        <w:gridCol w:w="4380"/>
        <w:gridCol w:w="1400"/>
      </w:tblGrid>
      <w:tr>
        <w:trPr>
          <w:tblHeader/>
        </w:trPr>
        <w:tc>
          <w:tcPr>
            <w:tcW w:type="dxa" w:w="4300"/>
            <w:shd w:fill="16233B" w:color="auto" w:val="clear"/>
            <w:tcMar>
              <w:top w:type="dxa" w:w="40"/>
              <w:left w:type="dxa" w:w="90"/>
              <w:bottom w:type="dxa" w:w="40"/>
              <w:right w:type="dxa" w:w="90"/>
            </w:tcMar>
          </w:tcPr>
          <w:p>
            <w:pPr>
              <w:spacing w:after="0" w:line="230"/>
            </w:pPr>
            <w:r>
              <w:rPr>
                <w:rFonts w:ascii="Calibri" w:cs="Calibri" w:eastAsia="Calibri" w:hAnsi="Calibri"/>
                <w:b/>
                <w:bCs/>
                <w:color w:val="FFFFFF"/>
                <w:sz w:val="16"/>
                <w:szCs w:val="16"/>
              </w:rPr>
              <w:t xml:space="preserve">Criterio del reto</w:t>
            </w:r>
          </w:p>
        </w:tc>
        <w:tc>
          <w:tcPr>
            <w:tcW w:type="dxa" w:w="4380"/>
            <w:shd w:fill="16233B" w:color="auto" w:val="clear"/>
            <w:tcMar>
              <w:top w:type="dxa" w:w="40"/>
              <w:left w:type="dxa" w:w="90"/>
              <w:bottom w:type="dxa" w:w="40"/>
              <w:right w:type="dxa" w:w="90"/>
            </w:tcMar>
          </w:tcPr>
          <w:p>
            <w:pPr>
              <w:spacing w:after="0" w:line="230"/>
            </w:pPr>
            <w:r>
              <w:rPr>
                <w:rFonts w:ascii="Calibri" w:cs="Calibri" w:eastAsia="Calibri" w:hAnsi="Calibri"/>
                <w:b/>
                <w:bCs/>
                <w:color w:val="FFFFFF"/>
                <w:sz w:val="16"/>
                <w:szCs w:val="16"/>
              </w:rPr>
              <w:t xml:space="preserve">Cómo lo cumple ORIGEN</w:t>
            </w:r>
          </w:p>
        </w:tc>
        <w:tc>
          <w:tcPr>
            <w:tcW w:type="dxa" w:w="1400"/>
            <w:shd w:fill="16233B" w:color="auto" w:val="clear"/>
            <w:tcMar>
              <w:top w:type="dxa" w:w="40"/>
              <w:left w:type="dxa" w:w="90"/>
              <w:bottom w:type="dxa" w:w="40"/>
              <w:right w:type="dxa" w:w="90"/>
            </w:tcMar>
          </w:tcPr>
          <w:p>
            <w:pPr>
              <w:spacing w:after="0" w:line="230"/>
            </w:pPr>
            <w:r>
              <w:rPr>
                <w:rFonts w:ascii="Calibri" w:cs="Calibri" w:eastAsia="Calibri" w:hAnsi="Calibri"/>
                <w:b/>
                <w:bCs/>
                <w:color w:val="FFFFFF"/>
                <w:sz w:val="16"/>
                <w:szCs w:val="16"/>
              </w:rPr>
              <w:t xml:space="preserve">Dónde</w:t>
            </w:r>
          </w:p>
        </w:tc>
      </w:tr>
      <w:tr>
        <w:tc>
          <w:tcPr>
            <w:tcW w:type="dxa" w:w="430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Recibe cédula o lote y devuelve variables exógenas</w:t>
            </w:r>
          </w:p>
        </w:tc>
        <w:tc>
          <w:tcPr>
            <w:tcW w:type="dxa" w:w="438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Motor de enriquecimiento con 6 variables (fuente + base legal)</w:t>
            </w:r>
          </w:p>
        </w:tc>
        <w:tc>
          <w:tcPr>
            <w:tcW w:type="dxa" w:w="140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Pág. 2</w:t>
            </w:r>
          </w:p>
        </w:tc>
      </w:tr>
      <w:tr>
        <w:tc>
          <w:tcPr>
            <w:tcW w:type="dxa" w:w="430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Enriquece para decidir qué crédito y si es viable</w:t>
            </w:r>
          </w:p>
        </w:tc>
        <w:tc>
          <w:tcPr>
            <w:tcW w:type="dxa" w:w="438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Deliberación sobre 7 productos + reglas de viabilidad</w:t>
            </w:r>
          </w:p>
        </w:tc>
        <w:tc>
          <w:tcPr>
            <w:tcW w:type="dxa" w:w="140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Págs. 3–4</w:t>
            </w:r>
          </w:p>
        </w:tc>
      </w:tr>
      <w:tr>
        <w:tc>
          <w:tcPr>
            <w:tcW w:type="dxa" w:w="430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Afiliados distintos → ofertas distintas</w:t>
            </w:r>
          </w:p>
        </w:tc>
        <w:tc>
          <w:tcPr>
            <w:tcW w:type="dxa" w:w="438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María / Ana / Carlos: 3 decisiones, 3 canales</w:t>
            </w:r>
          </w:p>
        </w:tc>
        <w:tc>
          <w:tcPr>
            <w:tcW w:type="dxa" w:w="140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Pág. 6</w:t>
            </w:r>
          </w:p>
        </w:tc>
      </w:tr>
      <w:tr>
        <w:tc>
          <w:tcPr>
            <w:tcW w:type="dxa" w:w="430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Combina ≥3 señales</w:t>
            </w:r>
          </w:p>
        </w:tc>
        <w:tc>
          <w:tcPr>
            <w:tcW w:type="dxa" w:w="438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Exógenas + categoría + momento de vida + franja</w:t>
            </w:r>
          </w:p>
        </w:tc>
        <w:tc>
          <w:tcPr>
            <w:tcW w:type="dxa" w:w="140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Págs. 2–4</w:t>
            </w:r>
          </w:p>
        </w:tc>
      </w:tr>
      <w:tr>
        <w:tc>
          <w:tcPr>
            <w:tcW w:type="dxa" w:w="430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Razón en lenguaje natural y qué señales pesaron</w:t>
            </w:r>
          </w:p>
        </w:tc>
        <w:tc>
          <w:tcPr>
            <w:tcW w:type="dxa" w:w="438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«Así piensa ORIGEN»: deliberación con pesos</w:t>
            </w:r>
          </w:p>
        </w:tc>
        <w:tc>
          <w:tcPr>
            <w:tcW w:type="dxa" w:w="140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Pág. 5</w:t>
            </w:r>
          </w:p>
        </w:tc>
      </w:tr>
      <w:tr>
        <w:tc>
          <w:tcPr>
            <w:tcW w:type="dxa" w:w="430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(Suma) Canal funcional + momento adecuado</w:t>
            </w:r>
          </w:p>
        </w:tc>
        <w:tc>
          <w:tcPr>
            <w:tcW w:type="dxa" w:w="438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Canal por preferencia; envío en la franja detectada</w:t>
            </w:r>
          </w:p>
        </w:tc>
        <w:tc>
          <w:tcPr>
            <w:tcW w:type="dxa" w:w="1400"/>
            <w:shd w:fill="EFF2F6" w:color="auto" w:val="clear"/>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Págs. 2–6</w:t>
            </w:r>
          </w:p>
        </w:tc>
      </w:tr>
      <w:tr>
        <w:tc>
          <w:tcPr>
            <w:tcW w:type="dxa" w:w="430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Detecta el momento de vida por la trayectoria</w:t>
            </w:r>
          </w:p>
        </w:tc>
        <w:tc>
          <w:tcPr>
            <w:tcW w:type="dxa" w:w="438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Motor de momento de vida</w:t>
            </w:r>
          </w:p>
        </w:tc>
        <w:tc>
          <w:tcPr>
            <w:tcW w:type="dxa" w:w="1400"/>
            <w:tcMar>
              <w:top w:type="dxa" w:w="40"/>
              <w:left w:type="dxa" w:w="90"/>
              <w:bottom w:type="dxa" w:w="40"/>
              <w:right w:type="dxa" w:w="90"/>
            </w:tcMar>
          </w:tcPr>
          <w:p>
            <w:pPr>
              <w:spacing w:after="0" w:line="230"/>
            </w:pPr>
            <w:r>
              <w:rPr>
                <w:rFonts w:ascii="Calibri" w:cs="Calibri" w:eastAsia="Calibri" w:hAnsi="Calibri"/>
                <w:color w:val="26303F"/>
                <w:sz w:val="16"/>
                <w:szCs w:val="16"/>
              </w:rPr>
              <w:t xml:space="preserve">Págs. 3–4</w:t>
            </w:r>
          </w:p>
        </w:tc>
      </w:tr>
    </w:tbl>
    <w:p>
      <w:pPr>
        <w:keepNext/>
        <w:pBdr>
          <w:bottom w:val="single" w:color="D8DCE3" w:sz="4" w:space="3"/>
        </w:pBdr>
        <w:spacing w:after="70" w:before="180" w:line="250"/>
      </w:pPr>
      <w:r>
        <w:rPr>
          <w:rFonts w:ascii="Calibri" w:cs="Calibri" w:eastAsia="Calibri" w:hAnsi="Calibri"/>
          <w:b/>
          <w:bCs/>
          <w:color w:val="B44A1E"/>
          <w:sz w:val="22"/>
          <w:szCs w:val="22"/>
        </w:rPr>
        <w:t xml:space="preserve">Visión</w:t>
      </w:r>
    </w:p>
    <w:p>
      <w:pPr>
        <w:spacing w:after="90" w:before="0" w:line="250"/>
      </w:pPr>
      <w:r>
        <w:rPr>
          <w:rFonts w:ascii="Calibri" w:cs="Calibri" w:eastAsia="Calibri" w:hAnsi="Calibri"/>
          <w:color w:val="1B1B1B"/>
          <w:sz w:val="18"/>
          <w:szCs w:val="18"/>
        </w:rPr>
        <w:t xml:space="preserve">El crédito es el primer caso de uso. La arquitectura —comprender el contexto y deliberar sobre él— está lista para evolucionar hacia vivienda, educación, ahorro, bienestar y beneficios del ecosistema Colsubsidio: cualquier decisión donde comprender a la persona sea lo central.</w:t>
      </w:r>
    </w:p>
    <w:p>
      <w:pPr>
        <w:spacing w:after="40"/>
      </w:pPr>
    </w:p>
    <w:p>
      <w:pPr>
        <w:pBdr>
          <w:top w:val="single" w:color="B44A1E" w:sz="8" w:space="6"/>
        </w:pBdr>
        <w:spacing w:after="20" w:line="260"/>
        <w:jc w:val="center"/>
      </w:pPr>
      <w:r>
        <w:rPr>
          <w:rFonts w:ascii="Calibri" w:cs="Calibri" w:eastAsia="Calibri" w:hAnsi="Calibri"/>
          <w:b/>
          <w:bCs/>
          <w:color w:val="16233B"/>
          <w:sz w:val="20"/>
          <w:szCs w:val="20"/>
        </w:rPr>
        <w:t xml:space="preserve">Las personas no necesitan más ofertas. Necesitan mejores decisiones. </w:t>
      </w:r>
      <w:r>
        <w:rPr>
          <w:rFonts w:ascii="Calibri" w:cs="Calibri" w:eastAsia="Calibri" w:hAnsi="Calibri"/>
          <w:b/>
          <w:bCs/>
          <w:color w:val="B44A1E"/>
          <w:sz w:val="20"/>
          <w:szCs w:val="20"/>
        </w:rPr>
        <w:t xml:space="preserve">ORIGEN ayuda a Colsubsidio a tomarlas.</w:t>
      </w:r>
    </w:p>
    <w:sectPr>
      <w:pgSz w:w="12240" w:h="15840" w:orient="portrait"/>
      <w:pgMar w:top="1060" w:right="1080" w:bottom="9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2026-07-25T09:16:51.573Z</dcterms:created>
  <dcterms:modified xsi:type="dcterms:W3CDTF">2026-07-25T09:16:51.589Z</dcterms:modified>
</cp:coreProperties>
</file>

<file path=docProps/custom.xml><?xml version="1.0" encoding="utf-8"?>
<Properties xmlns="http://schemas.openxmlformats.org/officeDocument/2006/custom-properties" xmlns:vt="http://schemas.openxmlformats.org/officeDocument/2006/docPropsVTypes"/>
</file>