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CD0" w:rsidRDefault="006B0CD0" w:rsidP="006B0CD0">
      <w:pPr>
        <w:pStyle w:val="a3"/>
        <w:wordWrap/>
        <w:snapToGrid w:val="0"/>
        <w:spacing w:line="240" w:lineRule="exact"/>
        <w:jc w:val="left"/>
        <w:rPr>
          <w:b w:val="0"/>
          <w:i/>
          <w:sz w:val="18"/>
          <w:szCs w:val="18"/>
        </w:rPr>
      </w:pPr>
      <w:bookmarkStart w:id="0" w:name="_Hlk20296123"/>
      <w:bookmarkEnd w:id="0"/>
      <w:r>
        <w:rPr>
          <w:b w:val="0"/>
          <w:i/>
          <w:noProof/>
          <w:sz w:val="18"/>
          <w:szCs w:val="18"/>
          <w:lang w:eastAsia="ja-JP"/>
        </w:rPr>
        <w:t>The 32</w:t>
      </w:r>
      <w:r>
        <w:rPr>
          <w:rFonts w:ascii="바탕체" w:eastAsia="바탕체" w:hAnsi="바탕체" w:cs="바탕체" w:hint="eastAsia"/>
          <w:b w:val="0"/>
          <w:i/>
          <w:noProof/>
          <w:sz w:val="18"/>
          <w:szCs w:val="18"/>
        </w:rPr>
        <w:t>nd</w:t>
      </w:r>
      <w:r w:rsidRPr="0077273F">
        <w:rPr>
          <w:b w:val="0"/>
          <w:i/>
          <w:noProof/>
          <w:sz w:val="18"/>
          <w:szCs w:val="18"/>
          <w:lang w:eastAsia="ja-JP"/>
        </w:rPr>
        <w:t xml:space="preserve"> KKHTCNN</w:t>
      </w:r>
      <w:r>
        <w:rPr>
          <w:rFonts w:hint="eastAsia"/>
          <w:b w:val="0"/>
          <w:i/>
          <w:sz w:val="18"/>
          <w:szCs w:val="18"/>
        </w:rPr>
        <w:t xml:space="preserve"> Symposium on Civil Engineering</w:t>
      </w:r>
    </w:p>
    <w:p w:rsidR="006B0CD0" w:rsidRPr="00277409" w:rsidRDefault="006B0CD0" w:rsidP="006B0CD0">
      <w:pPr>
        <w:pStyle w:val="a3"/>
        <w:wordWrap/>
        <w:snapToGrid w:val="0"/>
        <w:spacing w:line="240" w:lineRule="exact"/>
        <w:jc w:val="left"/>
        <w:rPr>
          <w:rFonts w:eastAsia="맑은 고딕"/>
          <w:b w:val="0"/>
          <w:i/>
          <w:sz w:val="18"/>
          <w:szCs w:val="18"/>
        </w:rPr>
      </w:pPr>
      <w:r>
        <w:rPr>
          <w:rFonts w:eastAsia="맑은 고딕"/>
          <w:b w:val="0"/>
          <w:i/>
          <w:sz w:val="18"/>
          <w:szCs w:val="18"/>
        </w:rPr>
        <w:t>October 24-26</w:t>
      </w:r>
      <w:r w:rsidRPr="0077273F">
        <w:rPr>
          <w:rFonts w:eastAsia="맑은 고딕"/>
          <w:b w:val="0"/>
          <w:i/>
          <w:sz w:val="18"/>
          <w:szCs w:val="18"/>
        </w:rPr>
        <w:t>, 201</w:t>
      </w:r>
      <w:r>
        <w:rPr>
          <w:rFonts w:eastAsia="맑은 고딕"/>
          <w:b w:val="0"/>
          <w:i/>
          <w:sz w:val="18"/>
          <w:szCs w:val="18"/>
        </w:rPr>
        <w:t>9</w:t>
      </w:r>
      <w:r w:rsidRPr="0077273F">
        <w:rPr>
          <w:rFonts w:eastAsia="맑은 고딕"/>
          <w:b w:val="0"/>
          <w:i/>
          <w:sz w:val="18"/>
          <w:szCs w:val="18"/>
        </w:rPr>
        <w:t xml:space="preserve">, </w:t>
      </w:r>
      <w:r>
        <w:rPr>
          <w:rFonts w:eastAsia="맑은 고딕"/>
          <w:b w:val="0"/>
          <w:i/>
          <w:sz w:val="18"/>
          <w:szCs w:val="18"/>
        </w:rPr>
        <w:t>Daejeon, Korea</w:t>
      </w:r>
    </w:p>
    <w:p w:rsidR="006B0CD0" w:rsidRPr="004A5EA0" w:rsidRDefault="006B0CD0" w:rsidP="006B0CD0">
      <w:pPr>
        <w:pStyle w:val="a3"/>
        <w:tabs>
          <w:tab w:val="left" w:pos="6270"/>
        </w:tabs>
        <w:wordWrap/>
        <w:spacing w:line="240" w:lineRule="exact"/>
        <w:jc w:val="left"/>
        <w:rPr>
          <w:b w:val="0"/>
          <w:sz w:val="22"/>
          <w:szCs w:val="22"/>
          <w:lang w:val="en-GB" w:eastAsia="ja-JP"/>
        </w:rPr>
      </w:pPr>
    </w:p>
    <w:p w:rsidR="006B0CD0" w:rsidRPr="004A5EA0" w:rsidRDefault="006B0CD0" w:rsidP="006B0CD0">
      <w:pPr>
        <w:spacing w:line="240" w:lineRule="exact"/>
        <w:rPr>
          <w:rFonts w:eastAsia="맑은 고딕"/>
          <w:i/>
          <w:color w:val="FF0000"/>
          <w:szCs w:val="22"/>
          <w:lang w:val="en-GB" w:eastAsia="ko-KR"/>
        </w:rPr>
      </w:pPr>
    </w:p>
    <w:p w:rsidR="006B0CD0" w:rsidRPr="004A5EA0" w:rsidRDefault="006B0CD0" w:rsidP="006B0CD0">
      <w:pPr>
        <w:pStyle w:val="a3"/>
        <w:tabs>
          <w:tab w:val="left" w:pos="6270"/>
        </w:tabs>
        <w:wordWrap/>
        <w:spacing w:line="240" w:lineRule="exact"/>
        <w:jc w:val="left"/>
        <w:rPr>
          <w:b w:val="0"/>
          <w:sz w:val="22"/>
          <w:szCs w:val="22"/>
          <w:lang w:val="en-GB" w:eastAsia="ja-JP"/>
        </w:rPr>
      </w:pPr>
    </w:p>
    <w:p w:rsidR="006B0CD0" w:rsidRPr="004A5EA0" w:rsidRDefault="00AE5D59" w:rsidP="00DE15AB">
      <w:pPr>
        <w:spacing w:line="240" w:lineRule="exact"/>
        <w:jc w:val="center"/>
        <w:rPr>
          <w:rFonts w:eastAsia="맑은 고딕"/>
          <w:b/>
          <w:sz w:val="28"/>
          <w:szCs w:val="28"/>
          <w:lang w:val="en-GB" w:eastAsia="ko-KR"/>
        </w:rPr>
      </w:pPr>
      <w:r w:rsidRPr="00AE5D59">
        <w:rPr>
          <w:rFonts w:eastAsia="맑은 고딕"/>
          <w:b/>
          <w:sz w:val="28"/>
          <w:szCs w:val="28"/>
          <w:lang w:val="en-GB" w:eastAsia="ko-KR"/>
        </w:rPr>
        <w:t xml:space="preserve">The </w:t>
      </w:r>
      <w:r>
        <w:rPr>
          <w:rFonts w:eastAsia="맑은 고딕"/>
          <w:b/>
          <w:sz w:val="28"/>
          <w:szCs w:val="28"/>
          <w:lang w:val="en-GB" w:eastAsia="ko-KR"/>
        </w:rPr>
        <w:t>I</w:t>
      </w:r>
      <w:r w:rsidRPr="00AE5D59">
        <w:rPr>
          <w:rFonts w:eastAsia="맑은 고딕"/>
          <w:b/>
          <w:sz w:val="28"/>
          <w:szCs w:val="28"/>
          <w:lang w:val="en-GB" w:eastAsia="ko-KR"/>
        </w:rPr>
        <w:t xml:space="preserve">mpact of </w:t>
      </w:r>
      <w:r>
        <w:rPr>
          <w:rFonts w:eastAsia="맑은 고딕"/>
          <w:b/>
          <w:sz w:val="28"/>
          <w:szCs w:val="28"/>
          <w:lang w:val="en-GB" w:eastAsia="ko-KR"/>
        </w:rPr>
        <w:t>A</w:t>
      </w:r>
      <w:r w:rsidRPr="00AE5D59">
        <w:rPr>
          <w:rFonts w:eastAsia="맑은 고딕"/>
          <w:b/>
          <w:sz w:val="28"/>
          <w:szCs w:val="28"/>
          <w:lang w:val="en-GB" w:eastAsia="ko-KR"/>
        </w:rPr>
        <w:t xml:space="preserve">ir </w:t>
      </w:r>
      <w:r>
        <w:rPr>
          <w:rFonts w:eastAsia="맑은 고딕"/>
          <w:b/>
          <w:sz w:val="28"/>
          <w:szCs w:val="28"/>
          <w:lang w:val="en-GB" w:eastAsia="ko-KR"/>
        </w:rPr>
        <w:t>Q</w:t>
      </w:r>
      <w:r w:rsidRPr="00AE5D59">
        <w:rPr>
          <w:rFonts w:eastAsia="맑은 고딕"/>
          <w:b/>
          <w:sz w:val="28"/>
          <w:szCs w:val="28"/>
          <w:lang w:val="en-GB" w:eastAsia="ko-KR"/>
        </w:rPr>
        <w:t xml:space="preserve">uality on </w:t>
      </w:r>
      <w:r>
        <w:rPr>
          <w:rFonts w:eastAsia="맑은 고딕"/>
          <w:b/>
          <w:sz w:val="28"/>
          <w:szCs w:val="28"/>
          <w:lang w:val="en-GB" w:eastAsia="ko-KR"/>
        </w:rPr>
        <w:t>F</w:t>
      </w:r>
      <w:r w:rsidRPr="00AE5D59">
        <w:rPr>
          <w:rFonts w:eastAsia="맑은 고딕"/>
          <w:b/>
          <w:sz w:val="28"/>
          <w:szCs w:val="28"/>
          <w:lang w:val="en-GB" w:eastAsia="ko-KR"/>
        </w:rPr>
        <w:t xml:space="preserve">loating </w:t>
      </w:r>
      <w:r>
        <w:rPr>
          <w:rFonts w:eastAsia="맑은 고딕"/>
          <w:b/>
          <w:sz w:val="28"/>
          <w:szCs w:val="28"/>
          <w:lang w:val="en-GB" w:eastAsia="ko-KR"/>
        </w:rPr>
        <w:t>P</w:t>
      </w:r>
      <w:r w:rsidRPr="00AE5D59">
        <w:rPr>
          <w:rFonts w:eastAsia="맑은 고딕"/>
          <w:b/>
          <w:sz w:val="28"/>
          <w:szCs w:val="28"/>
          <w:lang w:val="en-GB" w:eastAsia="ko-KR"/>
        </w:rPr>
        <w:t xml:space="preserve">opulation by </w:t>
      </w:r>
      <w:r>
        <w:rPr>
          <w:rFonts w:eastAsia="맑은 고딕"/>
          <w:b/>
          <w:sz w:val="28"/>
          <w:szCs w:val="28"/>
          <w:lang w:val="en-GB" w:eastAsia="ko-KR"/>
        </w:rPr>
        <w:t>A</w:t>
      </w:r>
      <w:r w:rsidRPr="00AE5D59">
        <w:rPr>
          <w:rFonts w:eastAsia="맑은 고딕"/>
          <w:b/>
          <w:sz w:val="28"/>
          <w:szCs w:val="28"/>
          <w:lang w:val="en-GB" w:eastAsia="ko-KR"/>
        </w:rPr>
        <w:t xml:space="preserve">ge </w:t>
      </w:r>
      <w:r>
        <w:rPr>
          <w:rFonts w:eastAsia="맑은 고딕"/>
          <w:b/>
          <w:sz w:val="28"/>
          <w:szCs w:val="28"/>
          <w:lang w:val="en-GB" w:eastAsia="ko-KR"/>
        </w:rPr>
        <w:t>G</w:t>
      </w:r>
      <w:r w:rsidRPr="00AE5D59">
        <w:rPr>
          <w:rFonts w:eastAsia="맑은 고딕"/>
          <w:b/>
          <w:sz w:val="28"/>
          <w:szCs w:val="28"/>
          <w:lang w:val="en-GB" w:eastAsia="ko-KR"/>
        </w:rPr>
        <w:t>roup in Yeouido, Seoul</w:t>
      </w:r>
      <w:r w:rsidR="006B0CD0" w:rsidRPr="004A5EA0">
        <w:rPr>
          <w:rFonts w:eastAsia="맑은 고딕"/>
          <w:b/>
          <w:sz w:val="28"/>
          <w:szCs w:val="28"/>
          <w:lang w:val="en-GB" w:eastAsia="ko-KR"/>
        </w:rPr>
        <w:t xml:space="preserve"> </w:t>
      </w:r>
    </w:p>
    <w:p w:rsidR="006B0CD0" w:rsidRPr="004A5EA0" w:rsidRDefault="006B0CD0" w:rsidP="006B0CD0">
      <w:pPr>
        <w:tabs>
          <w:tab w:val="right" w:pos="9070"/>
        </w:tabs>
        <w:spacing w:line="240" w:lineRule="exact"/>
        <w:rPr>
          <w:rFonts w:eastAsia="맑은 고딕"/>
          <w:i/>
          <w:color w:val="FF0000"/>
          <w:szCs w:val="22"/>
          <w:lang w:val="en-GB" w:eastAsia="ko-KR"/>
        </w:rPr>
      </w:pPr>
      <w:r w:rsidRPr="004A5EA0">
        <w:rPr>
          <w:i/>
          <w:color w:val="FF0000"/>
          <w:szCs w:val="22"/>
          <w:lang w:val="en-GB"/>
        </w:rPr>
        <w:tab/>
      </w:r>
    </w:p>
    <w:p w:rsidR="006B0CD0" w:rsidRDefault="006B0CD0" w:rsidP="006B0CD0">
      <w:pPr>
        <w:jc w:val="center"/>
        <w:rPr>
          <w:sz w:val="28"/>
          <w:szCs w:val="28"/>
          <w:vertAlign w:val="superscript"/>
          <w:lang w:val="en-GB"/>
        </w:rPr>
      </w:pPr>
      <w:proofErr w:type="spellStart"/>
      <w:r>
        <w:rPr>
          <w:rFonts w:eastAsia="맑은 고딕"/>
          <w:sz w:val="28"/>
          <w:szCs w:val="28"/>
          <w:lang w:val="en-GB" w:eastAsia="ko-KR"/>
        </w:rPr>
        <w:t>Yeji</w:t>
      </w:r>
      <w:proofErr w:type="spellEnd"/>
      <w:r>
        <w:rPr>
          <w:rFonts w:eastAsia="맑은 고딕"/>
          <w:sz w:val="28"/>
          <w:szCs w:val="28"/>
          <w:lang w:val="en-GB" w:eastAsia="ko-KR"/>
        </w:rPr>
        <w:t xml:space="preserve"> Kim</w:t>
      </w:r>
      <w:r w:rsidRPr="004A5EA0">
        <w:rPr>
          <w:sz w:val="28"/>
          <w:szCs w:val="28"/>
          <w:vertAlign w:val="superscript"/>
          <w:lang w:val="en-GB"/>
        </w:rPr>
        <w:t>1</w:t>
      </w:r>
      <w:r w:rsidRPr="004A5EA0">
        <w:rPr>
          <w:sz w:val="28"/>
          <w:szCs w:val="28"/>
          <w:lang w:val="en-GB"/>
        </w:rPr>
        <w:t xml:space="preserve">, </w:t>
      </w:r>
      <w:proofErr w:type="spellStart"/>
      <w:r>
        <w:rPr>
          <w:rFonts w:eastAsia="맑은 고딕"/>
          <w:sz w:val="28"/>
          <w:szCs w:val="28"/>
          <w:lang w:val="en-GB" w:eastAsia="ko-KR"/>
        </w:rPr>
        <w:t>Junyong</w:t>
      </w:r>
      <w:proofErr w:type="spellEnd"/>
      <w:r>
        <w:rPr>
          <w:rFonts w:eastAsia="맑은 고딕"/>
          <w:sz w:val="28"/>
          <w:szCs w:val="28"/>
          <w:lang w:val="en-GB" w:eastAsia="ko-KR"/>
        </w:rPr>
        <w:t xml:space="preserve"> Choi</w:t>
      </w:r>
      <w:r w:rsidRPr="004A5EA0">
        <w:rPr>
          <w:sz w:val="28"/>
          <w:szCs w:val="28"/>
          <w:vertAlign w:val="superscript"/>
          <w:lang w:val="en-GB"/>
        </w:rPr>
        <w:t>2</w:t>
      </w:r>
      <w:r w:rsidRPr="004A5EA0">
        <w:rPr>
          <w:sz w:val="28"/>
          <w:szCs w:val="28"/>
          <w:lang w:val="en-GB"/>
        </w:rPr>
        <w:t xml:space="preserve"> and </w:t>
      </w:r>
      <w:r>
        <w:rPr>
          <w:sz w:val="28"/>
          <w:szCs w:val="28"/>
          <w:lang w:val="en-GB"/>
        </w:rPr>
        <w:t>David Lee</w:t>
      </w:r>
      <w:r w:rsidRPr="004A5EA0">
        <w:rPr>
          <w:sz w:val="28"/>
          <w:szCs w:val="28"/>
          <w:vertAlign w:val="superscript"/>
          <w:lang w:val="en-GB"/>
        </w:rPr>
        <w:t>3</w:t>
      </w:r>
    </w:p>
    <w:p w:rsidR="00EC1130" w:rsidRDefault="00EC1130" w:rsidP="006B0CD0">
      <w:pPr>
        <w:jc w:val="center"/>
        <w:rPr>
          <w:sz w:val="28"/>
          <w:szCs w:val="28"/>
          <w:vertAlign w:val="superscript"/>
          <w:lang w:val="en-GB"/>
        </w:rPr>
      </w:pPr>
    </w:p>
    <w:p w:rsidR="00EC1130" w:rsidRDefault="00EC1130" w:rsidP="00EC1130">
      <w:pPr>
        <w:widowControl/>
        <w:spacing w:before="240" w:after="240"/>
        <w:jc w:val="center"/>
        <w:rPr>
          <w:i/>
          <w:sz w:val="24"/>
          <w:szCs w:val="24"/>
          <w:lang w:val="en-GB"/>
        </w:rPr>
      </w:pPr>
      <w:r w:rsidRPr="004A5EA0">
        <w:rPr>
          <w:i/>
          <w:sz w:val="24"/>
          <w:szCs w:val="24"/>
          <w:vertAlign w:val="superscript"/>
          <w:lang w:val="en-GB"/>
        </w:rPr>
        <w:t>1</w:t>
      </w:r>
      <w:r w:rsidRPr="00EC1130">
        <w:rPr>
          <w:rFonts w:ascii="Arial" w:eastAsia="굴림" w:hAnsi="Arial" w:cs="Arial"/>
          <w:i/>
          <w:iCs/>
          <w:color w:val="000000"/>
          <w:kern w:val="0"/>
          <w:sz w:val="24"/>
          <w:szCs w:val="24"/>
          <w:lang w:eastAsia="ko-KR"/>
        </w:rPr>
        <w:t xml:space="preserve"> </w:t>
      </w:r>
      <w:r w:rsidRPr="00AC41DA">
        <w:rPr>
          <w:i/>
          <w:w w:val="90"/>
          <w:sz w:val="24"/>
          <w:szCs w:val="24"/>
          <w:lang w:val="en-GB"/>
        </w:rPr>
        <w:t>Department of Earth Science and Environmental Engineering, GIST,</w:t>
      </w:r>
      <w:r w:rsidR="00AC41DA" w:rsidRPr="00AC41DA">
        <w:rPr>
          <w:i/>
          <w:w w:val="90"/>
          <w:sz w:val="24"/>
          <w:szCs w:val="24"/>
          <w:lang w:val="en-GB"/>
        </w:rPr>
        <w:t xml:space="preserve"> </w:t>
      </w:r>
      <w:r w:rsidRPr="00AC41DA">
        <w:rPr>
          <w:i/>
          <w:w w:val="90"/>
          <w:sz w:val="24"/>
          <w:szCs w:val="24"/>
          <w:lang w:val="en-GB"/>
        </w:rPr>
        <w:t>Gwangju 61005, Korea</w:t>
      </w:r>
    </w:p>
    <w:p w:rsidR="00EC1130" w:rsidRPr="00EC1130" w:rsidRDefault="00EC1130" w:rsidP="00EC1130">
      <w:pPr>
        <w:widowControl/>
        <w:spacing w:before="240" w:after="240"/>
        <w:jc w:val="center"/>
        <w:rPr>
          <w:rFonts w:ascii="굴림" w:eastAsia="굴림" w:hAnsi="굴림" w:cs="굴림"/>
          <w:kern w:val="0"/>
          <w:sz w:val="24"/>
          <w:szCs w:val="24"/>
          <w:lang w:eastAsia="ko-KR"/>
        </w:rPr>
      </w:pPr>
      <w:r w:rsidRPr="00EC1130">
        <w:rPr>
          <w:rFonts w:ascii="Arial" w:eastAsia="굴림" w:hAnsi="Arial" w:cs="Arial"/>
          <w:i/>
          <w:iCs/>
          <w:color w:val="000000"/>
          <w:kern w:val="0"/>
          <w:sz w:val="24"/>
          <w:szCs w:val="24"/>
          <w:vertAlign w:val="superscript"/>
          <w:lang w:eastAsia="ko-KR"/>
        </w:rPr>
        <w:t>2,3</w:t>
      </w:r>
      <w:r w:rsidRPr="00EC1130">
        <w:rPr>
          <w:i/>
          <w:sz w:val="24"/>
          <w:szCs w:val="24"/>
          <w:lang w:val="en-GB"/>
        </w:rPr>
        <w:t>Department of Civil and Environmental Engineering, KAIST, Daejeon 34141, Korea</w:t>
      </w:r>
    </w:p>
    <w:p w:rsidR="006B0CD0" w:rsidRPr="00FD01F4" w:rsidRDefault="008271CC" w:rsidP="00FD01F4">
      <w:pPr>
        <w:jc w:val="center"/>
        <w:rPr>
          <w:i/>
          <w:sz w:val="24"/>
          <w:szCs w:val="24"/>
        </w:rPr>
      </w:pPr>
      <w:hyperlink r:id="rId8" w:history="1">
        <w:r w:rsidR="00EC1130" w:rsidRPr="00EC1130">
          <w:rPr>
            <w:i/>
            <w:sz w:val="24"/>
            <w:szCs w:val="24"/>
          </w:rPr>
          <w:t>yejikim93@gist.ac.kr</w:t>
        </w:r>
      </w:hyperlink>
      <w:r w:rsidR="00EC1130" w:rsidRPr="00EC1130">
        <w:rPr>
          <w:i/>
          <w:sz w:val="24"/>
          <w:szCs w:val="24"/>
        </w:rPr>
        <w:t>, wnsdyd@kaist.ac.kr, david733@kaist.ac.kr</w:t>
      </w:r>
      <w:r w:rsidR="006B0CD0" w:rsidRPr="004A5EA0">
        <w:rPr>
          <w:i/>
          <w:color w:val="FF0000"/>
          <w:szCs w:val="22"/>
          <w:lang w:val="en-GB"/>
        </w:rPr>
        <w:tab/>
      </w:r>
    </w:p>
    <w:p w:rsidR="006B0CD0" w:rsidRPr="006B6BFE" w:rsidRDefault="006B0CD0" w:rsidP="006B0CD0">
      <w:pPr>
        <w:spacing w:line="240" w:lineRule="exact"/>
        <w:rPr>
          <w:sz w:val="18"/>
          <w:szCs w:val="18"/>
        </w:rPr>
      </w:pPr>
    </w:p>
    <w:p w:rsidR="00EC1130" w:rsidRDefault="00EC1130" w:rsidP="006B0CD0">
      <w:pPr>
        <w:spacing w:line="240" w:lineRule="exact"/>
        <w:rPr>
          <w:rFonts w:ascii="굴림" w:eastAsia="Yu Mincho" w:hAnsi="굴림" w:cs="굴림"/>
          <w:iCs/>
          <w:kern w:val="0"/>
          <w:sz w:val="24"/>
          <w:szCs w:val="24"/>
        </w:rPr>
      </w:pPr>
    </w:p>
    <w:p w:rsidR="00EC1130" w:rsidRPr="004A5EA0" w:rsidRDefault="00EC1130" w:rsidP="006B0CD0">
      <w:pPr>
        <w:spacing w:line="240" w:lineRule="exact"/>
        <w:rPr>
          <w:sz w:val="18"/>
          <w:szCs w:val="18"/>
          <w:lang w:val="en-GB"/>
        </w:rPr>
      </w:pPr>
    </w:p>
    <w:p w:rsidR="006B0CD0" w:rsidRDefault="006B0CD0" w:rsidP="006B0CD0">
      <w:pPr>
        <w:spacing w:line="240" w:lineRule="exact"/>
        <w:rPr>
          <w:lang w:val="en-GB"/>
        </w:rPr>
      </w:pPr>
      <w:r w:rsidRPr="004A5EA0">
        <w:rPr>
          <w:lang w:val="en-GB"/>
        </w:rPr>
        <w:t>ABSTRACT</w:t>
      </w:r>
    </w:p>
    <w:p w:rsidR="00A221BB" w:rsidRPr="004A5EA0" w:rsidRDefault="00A221BB" w:rsidP="006B0CD0">
      <w:pPr>
        <w:spacing w:line="240" w:lineRule="exact"/>
        <w:rPr>
          <w:lang w:val="en-GB"/>
        </w:rPr>
      </w:pPr>
    </w:p>
    <w:p w:rsidR="005D4FAD" w:rsidRDefault="00D927C9" w:rsidP="005D4FAD">
      <w:pPr>
        <w:spacing w:line="240" w:lineRule="exact"/>
        <w:ind w:firstLineChars="150" w:firstLine="300"/>
        <w:rPr>
          <w:lang w:val="en-GB"/>
        </w:rPr>
      </w:pPr>
      <w:r w:rsidRPr="00D927C9">
        <w:rPr>
          <w:lang w:val="en-GB"/>
        </w:rPr>
        <w:t>Air quality plays a significant role in people’s respiratory health. In this paper, we use Air Quality Index (AQI) defined by the</w:t>
      </w:r>
      <w:r w:rsidR="009A2423">
        <w:rPr>
          <w:lang w:val="en-GB"/>
        </w:rPr>
        <w:t xml:space="preserve"> United States</w:t>
      </w:r>
      <w:r w:rsidRPr="00D927C9">
        <w:rPr>
          <w:lang w:val="en-GB"/>
        </w:rPr>
        <w:t xml:space="preserve"> Environmental Protection Agency (</w:t>
      </w:r>
      <w:r w:rsidR="009A2423">
        <w:rPr>
          <w:lang w:val="en-GB"/>
        </w:rPr>
        <w:t>US</w:t>
      </w:r>
      <w:r w:rsidRPr="00D927C9">
        <w:rPr>
          <w:lang w:val="en-GB"/>
        </w:rPr>
        <w:t>EPA) using 6 major air pollutants (PM10, PM2.5, CO, NO2, O3, SO2) for quantifying air quality. First, we calculated population-weighted exposure to air pollution for 9,123 neighborhoods in Seoul over four months, based on hourly floating population data derived from mobile network usage. We visualized these patterns using GIS software to identify areas with the highest active population exposure, separated by age group. Then, we analyzed air quality impacts on working age and elderly populations in the Yeouido district of Seoul, where both groups were highly exposed during this period. We found that the elderly population remained similar or even increased on highly polluted days (high AQI) compared to high reduction of population among working age groups. This response pattern suggests that elderly populations may not adjusting their behavior to avoid exposure to air pollution. For further research, a smaller scale of floating population is need</w:t>
      </w:r>
      <w:r w:rsidR="004010AE">
        <w:rPr>
          <w:lang w:val="en-GB"/>
        </w:rPr>
        <w:t>ed</w:t>
      </w:r>
      <w:r w:rsidRPr="00D927C9">
        <w:rPr>
          <w:lang w:val="en-GB"/>
        </w:rPr>
        <w:t xml:space="preserve"> to distinguish whether people stay in buildings or not. In addition, Statistical tests would be conducted to verify AQI and human response among different age groups.</w:t>
      </w:r>
    </w:p>
    <w:p w:rsidR="00D927C9" w:rsidRPr="00D927C9" w:rsidRDefault="00D927C9" w:rsidP="00DE15AB">
      <w:pPr>
        <w:spacing w:line="240" w:lineRule="exact"/>
        <w:rPr>
          <w:lang w:val="en-GB"/>
        </w:rPr>
      </w:pPr>
      <w:r w:rsidRPr="00D927C9">
        <w:rPr>
          <w:lang w:val="en-GB"/>
        </w:rPr>
        <w:t>Keywords: Air quality index (AQI); Air pollution; Human exposure; Human response pattern </w:t>
      </w:r>
    </w:p>
    <w:p w:rsidR="006B0CD0" w:rsidRPr="004A5EA0" w:rsidRDefault="006B0CD0" w:rsidP="005D4FAD">
      <w:pPr>
        <w:spacing w:line="240" w:lineRule="exact"/>
        <w:rPr>
          <w:i/>
          <w:color w:val="FF0000"/>
          <w:szCs w:val="22"/>
          <w:lang w:val="en-GB"/>
        </w:rPr>
      </w:pPr>
    </w:p>
    <w:p w:rsidR="00D70EF7" w:rsidRDefault="006B0CD0" w:rsidP="005D4FAD">
      <w:pPr>
        <w:spacing w:line="240" w:lineRule="exact"/>
        <w:rPr>
          <w:rFonts w:eastAsiaTheme="minorEastAsia"/>
          <w:lang w:val="en-GB" w:eastAsia="ko-KR"/>
        </w:rPr>
      </w:pPr>
      <w:r w:rsidRPr="004A5EA0">
        <w:rPr>
          <w:lang w:val="en-GB"/>
        </w:rPr>
        <w:t>INTRODUCTION</w:t>
      </w:r>
    </w:p>
    <w:p w:rsidR="00A221BB" w:rsidRPr="00A221BB" w:rsidRDefault="00A221BB" w:rsidP="005D4FAD">
      <w:pPr>
        <w:spacing w:line="240" w:lineRule="exact"/>
        <w:rPr>
          <w:rFonts w:eastAsiaTheme="minorEastAsia"/>
          <w:lang w:val="en-GB" w:eastAsia="ko-KR"/>
        </w:rPr>
      </w:pPr>
    </w:p>
    <w:p w:rsidR="00446BED" w:rsidRDefault="00D927C9" w:rsidP="005D4FAD">
      <w:pPr>
        <w:spacing w:line="240" w:lineRule="exact"/>
        <w:ind w:firstLineChars="150" w:firstLine="300"/>
        <w:rPr>
          <w:lang w:val="en-GB"/>
        </w:rPr>
      </w:pPr>
      <w:r w:rsidRPr="00D927C9">
        <w:rPr>
          <w:lang w:val="en-GB"/>
        </w:rPr>
        <w:t>Recently, the air pollution problem has become a serious issue in Korea. Air pollutants from industry, transport, and resident sector could damage human respiratory systems. The United States Environmental Protection Agency (US</w:t>
      </w:r>
      <w:r w:rsidR="004010AE">
        <w:rPr>
          <w:lang w:val="en-GB"/>
        </w:rPr>
        <w:t xml:space="preserve"> </w:t>
      </w:r>
      <w:r w:rsidRPr="00D927C9">
        <w:rPr>
          <w:lang w:val="en-GB"/>
        </w:rPr>
        <w:t xml:space="preserve">EPA) sets National Ambient Air Quality Standards for hazardous air pollutants to health effects which include particulate matter (PM10/PM2.5), ozone (O3), carbon monoxide (CO), nitrogen dioxide (NO2), and sulphur dioxide (SO2) (U.S. Environmental Protection Agency, 2018). After the World Health Organization (WHO) announced serious health impact of particulate matters, more people have interest about air quality of their living environment due to high air pollution in Korea (WHO, 2013).  In Korea, there are 333 air monitoring stations managed by Korean government and 25 air quality monitoring station managed by Seoul city in each district of Seoul. Air monitoring stations transmit air pollutant concentration measurements (PM10, PM2.5, Ozone, CO, NO2, SO2) to databases of the National Ambient air quality Monitoring Information System (NAMIS). Collected real-time data is provided in </w:t>
      </w:r>
      <w:proofErr w:type="spellStart"/>
      <w:r w:rsidRPr="00D927C9">
        <w:rPr>
          <w:lang w:val="en-GB"/>
        </w:rPr>
        <w:t>AirKorea</w:t>
      </w:r>
      <w:proofErr w:type="spellEnd"/>
      <w:r w:rsidRPr="00D927C9">
        <w:rPr>
          <w:lang w:val="en-GB"/>
        </w:rPr>
        <w:t xml:space="preserve"> website after correcting error data.</w:t>
      </w:r>
    </w:p>
    <w:p w:rsidR="00D927C9" w:rsidRPr="00D927C9" w:rsidRDefault="00D927C9" w:rsidP="005D4FAD">
      <w:pPr>
        <w:spacing w:line="240" w:lineRule="exact"/>
        <w:ind w:firstLineChars="150" w:firstLine="300"/>
        <w:rPr>
          <w:lang w:val="en-GB"/>
        </w:rPr>
      </w:pPr>
      <w:r w:rsidRPr="00D927C9">
        <w:rPr>
          <w:lang w:val="en-GB"/>
        </w:rPr>
        <w:t xml:space="preserve">In this paper, we measured daily air pollution in 25 districts of Seoul using Air Quality Index (AQI), and population-weight exposure to air pollution to each dong-level neighbourhood. The AQI defined by the US EPA represents health risk associated with short-term exposure to ambient air pollution. The US EPA defined AQI considering the highest AQI value among criteria pollutants (PM10, PM2.5, Ozone, CO, NO2, SO2) at the moment. For calculating population-weighted exposure of each neighbourhood, we considered AQI of each district and floating population of each neighbourhood which is derived from mobile network usage. We studied patterns of population-weight exposure for working age and elderly groups in each neighbourhood in Seoul. </w:t>
      </w:r>
      <w:r w:rsidRPr="00D927C9">
        <w:rPr>
          <w:lang w:val="en-GB"/>
        </w:rPr>
        <w:lastRenderedPageBreak/>
        <w:t xml:space="preserve">Finally, we </w:t>
      </w:r>
      <w:proofErr w:type="spellStart"/>
      <w:r w:rsidRPr="00D927C9">
        <w:rPr>
          <w:lang w:val="en-GB"/>
        </w:rPr>
        <w:t>analyzed</w:t>
      </w:r>
      <w:proofErr w:type="spellEnd"/>
      <w:r w:rsidRPr="00D927C9">
        <w:rPr>
          <w:lang w:val="en-GB"/>
        </w:rPr>
        <w:t xml:space="preserve"> human response to air quality by age group in the highest population-weighted exposure place we identified, Yeouido neighborhood.</w:t>
      </w:r>
    </w:p>
    <w:p w:rsidR="006B0CD0" w:rsidRPr="00466E07" w:rsidRDefault="006B0CD0" w:rsidP="006B0CD0">
      <w:pPr>
        <w:spacing w:line="240" w:lineRule="exact"/>
        <w:rPr>
          <w:lang w:val="en-GB"/>
        </w:rPr>
      </w:pPr>
    </w:p>
    <w:p w:rsidR="006B0CD0" w:rsidRDefault="006B0CD0" w:rsidP="006B0CD0">
      <w:pPr>
        <w:spacing w:line="240" w:lineRule="exact"/>
        <w:rPr>
          <w:lang w:val="en-GB"/>
        </w:rPr>
      </w:pPr>
      <w:r>
        <w:rPr>
          <w:lang w:val="en-GB"/>
        </w:rPr>
        <w:t>MATERIAL AND METHOD</w:t>
      </w:r>
    </w:p>
    <w:p w:rsidR="004D6F30" w:rsidRPr="00310396" w:rsidRDefault="004D6F30" w:rsidP="006B0CD0">
      <w:pPr>
        <w:spacing w:line="240" w:lineRule="exact"/>
        <w:rPr>
          <w:lang w:val="en-GB"/>
        </w:rPr>
      </w:pPr>
    </w:p>
    <w:p w:rsidR="003E1A03" w:rsidRDefault="006B0CD0" w:rsidP="006B0CD0">
      <w:pPr>
        <w:spacing w:line="240" w:lineRule="exact"/>
        <w:rPr>
          <w:u w:val="single"/>
          <w:lang w:val="en-GB"/>
        </w:rPr>
      </w:pPr>
      <w:r>
        <w:rPr>
          <w:u w:val="single"/>
          <w:lang w:val="en-GB"/>
        </w:rPr>
        <w:t>Data</w:t>
      </w:r>
    </w:p>
    <w:p w:rsidR="005D4FAD" w:rsidRDefault="00D927C9" w:rsidP="005D4FAD">
      <w:pPr>
        <w:spacing w:line="240" w:lineRule="exact"/>
        <w:ind w:firstLineChars="150" w:firstLine="300"/>
        <w:rPr>
          <w:rFonts w:eastAsiaTheme="minorEastAsia"/>
          <w:lang w:val="en-GB" w:eastAsia="ko-KR"/>
        </w:rPr>
      </w:pPr>
      <w:r w:rsidRPr="00D927C9">
        <w:rPr>
          <w:lang w:val="en-GB"/>
        </w:rPr>
        <w:t>We used Korean government air pollution data (</w:t>
      </w:r>
      <w:proofErr w:type="spellStart"/>
      <w:r w:rsidRPr="00D927C9">
        <w:rPr>
          <w:lang w:val="en-GB"/>
        </w:rPr>
        <w:t>airKorea</w:t>
      </w:r>
      <w:proofErr w:type="spellEnd"/>
      <w:r w:rsidRPr="00D927C9">
        <w:rPr>
          <w:lang w:val="en-GB"/>
        </w:rPr>
        <w:t>) and floating population data (Seoul Metropolitan Government’s website) for visualizing population-weight exposure using open-source geographic information system (GIS) software QGIS. We collected air pollution data in all 25 districts in Seoul in 2018. Air pollution data including PM10, PM2.5, Ozone, CO, NO2, SO2 were collected every hour.</w:t>
      </w:r>
      <w:r w:rsidR="005D4FAD">
        <w:rPr>
          <w:rFonts w:eastAsiaTheme="minorEastAsia" w:hint="eastAsia"/>
          <w:lang w:val="en-GB" w:eastAsia="ko-KR"/>
        </w:rPr>
        <w:t xml:space="preserve"> </w:t>
      </w:r>
    </w:p>
    <w:p w:rsidR="00D927C9" w:rsidRPr="00D927C9" w:rsidRDefault="00D927C9" w:rsidP="005D4FAD">
      <w:pPr>
        <w:spacing w:line="240" w:lineRule="exact"/>
        <w:ind w:firstLineChars="150" w:firstLine="300"/>
        <w:rPr>
          <w:lang w:val="en-GB"/>
        </w:rPr>
      </w:pPr>
      <w:r w:rsidRPr="00D927C9">
        <w:rPr>
          <w:lang w:val="en-GB"/>
        </w:rPr>
        <w:t>Seoul open data provides floating population data as hourly counts by age in each dong-level neighbourhood of Seoul. The floating populations are estimated using mobile phone usage (LTE) provided by KT telephone company. The data are segmented by hour, age (0-9, 10-14, 15-19, 20-24, 25-29, 30-34, 35-39, 40-44, 45-49, 50-54, 55-59, 60-64, 65-69, over 70), and gender. Age groups who tend not to use mobile phones (younger than 10 or older than 80), are estimated by considering the ratio of resident registration population and movement of surrounding age people (Government Metropolitan Seoul, 2013). </w:t>
      </w:r>
    </w:p>
    <w:p w:rsidR="00D927C9" w:rsidRPr="00D927C9" w:rsidRDefault="00D927C9" w:rsidP="005D4FAD">
      <w:pPr>
        <w:spacing w:line="240" w:lineRule="exact"/>
        <w:ind w:firstLineChars="150" w:firstLine="300"/>
        <w:rPr>
          <w:lang w:val="en-GB"/>
        </w:rPr>
      </w:pPr>
      <w:r w:rsidRPr="00D927C9">
        <w:rPr>
          <w:lang w:val="en-GB"/>
        </w:rPr>
        <w:t xml:space="preserve">To </w:t>
      </w:r>
      <w:proofErr w:type="spellStart"/>
      <w:r w:rsidRPr="00D927C9">
        <w:rPr>
          <w:lang w:val="en-GB"/>
        </w:rPr>
        <w:t>analyze</w:t>
      </w:r>
      <w:proofErr w:type="spellEnd"/>
      <w:r w:rsidRPr="00D927C9">
        <w:rPr>
          <w:lang w:val="en-GB"/>
        </w:rPr>
        <w:t xml:space="preserve"> human response patterns to air pollution among different age groups (Working age/elderly), we used air quality data over four months (January - April, 2018) and floating population data of Yeouido neighbourhood in Seoul.  </w:t>
      </w:r>
    </w:p>
    <w:p w:rsidR="006B0CD0" w:rsidRPr="008B08BF" w:rsidRDefault="006B0CD0" w:rsidP="005D4FAD">
      <w:pPr>
        <w:spacing w:line="240" w:lineRule="exact"/>
        <w:rPr>
          <w:lang w:val="en-GB"/>
        </w:rPr>
      </w:pPr>
    </w:p>
    <w:p w:rsidR="00DE15AB" w:rsidRDefault="00A5018B" w:rsidP="00DE15AB">
      <w:pPr>
        <w:spacing w:line="240" w:lineRule="exact"/>
        <w:rPr>
          <w:lang w:val="en-GB"/>
        </w:rPr>
      </w:pPr>
      <w:r>
        <w:rPr>
          <w:u w:val="single"/>
          <w:lang w:val="en-GB"/>
        </w:rPr>
        <w:t xml:space="preserve">Calculation of </w:t>
      </w:r>
      <w:r w:rsidR="006B0CD0">
        <w:rPr>
          <w:u w:val="single"/>
          <w:lang w:val="en-GB"/>
        </w:rPr>
        <w:t>AQI</w:t>
      </w:r>
      <w:r w:rsidR="00BC5110">
        <w:rPr>
          <w:u w:val="single"/>
          <w:lang w:val="en-GB"/>
        </w:rPr>
        <w:t xml:space="preserve"> </w:t>
      </w:r>
      <w:r w:rsidR="006B0CD0">
        <w:rPr>
          <w:u w:val="single"/>
          <w:lang w:val="en-GB"/>
        </w:rPr>
        <w:t>(</w:t>
      </w:r>
      <w:r w:rsidR="006B0CD0" w:rsidRPr="00DE15AB">
        <w:rPr>
          <w:u w:val="single"/>
          <w:lang w:val="en-GB"/>
        </w:rPr>
        <w:t>Air quality index)</w:t>
      </w:r>
      <w:r w:rsidR="00DE15AB" w:rsidRPr="00DE15AB">
        <w:rPr>
          <w:lang w:val="en-GB"/>
        </w:rPr>
        <w:t xml:space="preserve">   </w:t>
      </w:r>
    </w:p>
    <w:p w:rsidR="00446BED" w:rsidRPr="00DE15AB" w:rsidRDefault="00D927C9" w:rsidP="00DE15AB">
      <w:pPr>
        <w:spacing w:line="240" w:lineRule="exact"/>
        <w:ind w:firstLineChars="150" w:firstLine="300"/>
        <w:rPr>
          <w:u w:val="single"/>
          <w:lang w:val="en-GB"/>
        </w:rPr>
      </w:pPr>
      <w:r w:rsidRPr="00D927C9">
        <w:rPr>
          <w:lang w:val="en-GB"/>
        </w:rPr>
        <w:t>AQI value is the highest AQI values among average daily concentration of 6 criteria pollutants calculated by following equation showing health risks associated with short-term exposure (U.S. Environmental Protection Agency, 2018).</w:t>
      </w:r>
    </w:p>
    <w:p w:rsidR="00310396" w:rsidRPr="004D6F30" w:rsidRDefault="008271CC" w:rsidP="005D4FAD">
      <w:pPr>
        <w:widowControl/>
        <w:textAlignment w:val="baseline"/>
        <w:rPr>
          <w:iCs/>
          <w:kern w:val="0"/>
          <w:sz w:val="18"/>
          <w:szCs w:val="18"/>
        </w:rPr>
      </w:pPr>
      <m:oMathPara>
        <m:oMath>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I</m:t>
              </m:r>
            </m:e>
            <m:sub>
              <m:r>
                <m:rPr>
                  <m:sty m:val="p"/>
                </m:rPr>
                <w:rPr>
                  <w:rFonts w:ascii="Cambria Math" w:eastAsia="굴림" w:hAnsi="Cambria Math"/>
                  <w:kern w:val="0"/>
                  <w:sz w:val="18"/>
                  <w:szCs w:val="18"/>
                </w:rPr>
                <m:t>p</m:t>
              </m:r>
            </m:sub>
          </m:sSub>
          <m:r>
            <m:rPr>
              <m:sty m:val="p"/>
            </m:rPr>
            <w:rPr>
              <w:rFonts w:ascii="Cambria Math" w:eastAsia="굴림" w:hAnsi="Cambria Math"/>
              <w:kern w:val="0"/>
              <w:sz w:val="18"/>
              <w:szCs w:val="18"/>
            </w:rPr>
            <m:t xml:space="preserve">= </m:t>
          </m:r>
          <m:f>
            <m:fPr>
              <m:ctrlPr>
                <w:rPr>
                  <w:rFonts w:ascii="Cambria Math" w:eastAsia="굴림" w:hAnsi="Cambria Math"/>
                  <w:iCs/>
                  <w:kern w:val="0"/>
                  <w:sz w:val="18"/>
                  <w:szCs w:val="18"/>
                </w:rPr>
              </m:ctrlPr>
            </m:fPr>
            <m:num>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I</m:t>
                  </m:r>
                </m:e>
                <m:sub>
                  <m:r>
                    <m:rPr>
                      <m:sty m:val="p"/>
                    </m:rPr>
                    <w:rPr>
                      <w:rFonts w:ascii="Cambria Math" w:eastAsia="굴림" w:hAnsi="Cambria Math"/>
                      <w:kern w:val="0"/>
                      <w:sz w:val="18"/>
                      <w:szCs w:val="18"/>
                    </w:rPr>
                    <m:t>Hi</m:t>
                  </m:r>
                </m:sub>
              </m:sSub>
              <m:r>
                <m:rPr>
                  <m:sty m:val="p"/>
                </m:rPr>
                <w:rPr>
                  <w:rFonts w:ascii="Cambria Math" w:eastAsia="굴림" w:hAnsi="Cambria Math"/>
                  <w:kern w:val="0"/>
                  <w:sz w:val="18"/>
                  <w:szCs w:val="18"/>
                </w:rPr>
                <m:t>-</m:t>
              </m:r>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I</m:t>
                  </m:r>
                </m:e>
                <m:sub>
                  <m:r>
                    <m:rPr>
                      <m:sty m:val="p"/>
                    </m:rPr>
                    <w:rPr>
                      <w:rFonts w:ascii="Cambria Math" w:eastAsia="굴림" w:hAnsi="Cambria Math"/>
                      <w:kern w:val="0"/>
                      <w:sz w:val="18"/>
                      <w:szCs w:val="18"/>
                    </w:rPr>
                    <m:t>Lo</m:t>
                  </m:r>
                </m:sub>
              </m:sSub>
            </m:num>
            <m:den>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BP</m:t>
                  </m:r>
                </m:e>
                <m:sub>
                  <m:r>
                    <m:rPr>
                      <m:sty m:val="p"/>
                    </m:rPr>
                    <w:rPr>
                      <w:rFonts w:ascii="Cambria Math" w:eastAsia="굴림" w:hAnsi="Cambria Math"/>
                      <w:kern w:val="0"/>
                      <w:sz w:val="18"/>
                      <w:szCs w:val="18"/>
                    </w:rPr>
                    <m:t>HI</m:t>
                  </m:r>
                </m:sub>
              </m:sSub>
              <m:r>
                <m:rPr>
                  <m:sty m:val="p"/>
                </m:rPr>
                <w:rPr>
                  <w:rFonts w:ascii="Cambria Math" w:eastAsia="굴림" w:hAnsi="Cambria Math"/>
                  <w:kern w:val="0"/>
                  <w:sz w:val="18"/>
                  <w:szCs w:val="18"/>
                </w:rPr>
                <m:t>-</m:t>
              </m:r>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BP</m:t>
                  </m:r>
                </m:e>
                <m:sub>
                  <m:r>
                    <m:rPr>
                      <m:sty m:val="p"/>
                    </m:rPr>
                    <w:rPr>
                      <w:rFonts w:ascii="Cambria Math" w:eastAsia="굴림" w:hAnsi="Cambria Math"/>
                      <w:kern w:val="0"/>
                      <w:sz w:val="18"/>
                      <w:szCs w:val="18"/>
                    </w:rPr>
                    <m:t>Lo</m:t>
                  </m:r>
                </m:sub>
              </m:sSub>
            </m:den>
          </m:f>
          <m:d>
            <m:dPr>
              <m:ctrlPr>
                <w:rPr>
                  <w:rFonts w:ascii="Cambria Math" w:eastAsia="굴림" w:hAnsi="Cambria Math"/>
                  <w:iCs/>
                  <w:kern w:val="0"/>
                  <w:sz w:val="18"/>
                  <w:szCs w:val="18"/>
                </w:rPr>
              </m:ctrlPr>
            </m:dPr>
            <m:e>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C</m:t>
                  </m:r>
                </m:e>
                <m:sub>
                  <m:r>
                    <m:rPr>
                      <m:sty m:val="p"/>
                    </m:rPr>
                    <w:rPr>
                      <w:rFonts w:ascii="Cambria Math" w:eastAsia="굴림" w:hAnsi="Cambria Math"/>
                      <w:kern w:val="0"/>
                      <w:sz w:val="18"/>
                      <w:szCs w:val="18"/>
                    </w:rPr>
                    <m:t>p</m:t>
                  </m:r>
                </m:sub>
              </m:sSub>
              <m:r>
                <m:rPr>
                  <m:sty m:val="p"/>
                </m:rPr>
                <w:rPr>
                  <w:rFonts w:ascii="Cambria Math" w:eastAsia="굴림" w:hAnsi="Cambria Math"/>
                  <w:kern w:val="0"/>
                  <w:sz w:val="18"/>
                  <w:szCs w:val="18"/>
                </w:rPr>
                <m:t>-</m:t>
              </m:r>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BP</m:t>
                  </m:r>
                </m:e>
                <m:sub>
                  <m:r>
                    <m:rPr>
                      <m:sty m:val="p"/>
                    </m:rPr>
                    <w:rPr>
                      <w:rFonts w:ascii="Cambria Math" w:eastAsia="굴림" w:hAnsi="Cambria Math"/>
                      <w:kern w:val="0"/>
                      <w:sz w:val="18"/>
                      <w:szCs w:val="18"/>
                    </w:rPr>
                    <m:t>Lo</m:t>
                  </m:r>
                </m:sub>
              </m:sSub>
            </m:e>
          </m:d>
          <m:r>
            <m:rPr>
              <m:sty m:val="p"/>
            </m:rPr>
            <w:rPr>
              <w:rFonts w:ascii="Cambria Math" w:eastAsia="굴림" w:hAnsi="Cambria Math"/>
              <w:kern w:val="0"/>
              <w:sz w:val="18"/>
              <w:szCs w:val="18"/>
            </w:rPr>
            <m:t>+</m:t>
          </m:r>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I</m:t>
              </m:r>
            </m:e>
            <m:sub>
              <m:r>
                <m:rPr>
                  <m:sty m:val="p"/>
                </m:rPr>
                <w:rPr>
                  <w:rFonts w:ascii="Cambria Math" w:eastAsia="굴림" w:hAnsi="Cambria Math"/>
                  <w:kern w:val="0"/>
                  <w:sz w:val="18"/>
                  <w:szCs w:val="18"/>
                </w:rPr>
                <m:t>Lo</m:t>
              </m:r>
            </m:sub>
          </m:sSub>
        </m:oMath>
      </m:oMathPara>
    </w:p>
    <w:p w:rsidR="004D6F30" w:rsidRPr="00310396" w:rsidRDefault="004D6F30" w:rsidP="005D4FAD">
      <w:pPr>
        <w:widowControl/>
        <w:textAlignment w:val="baseline"/>
        <w:rPr>
          <w:iCs/>
          <w:kern w:val="0"/>
          <w:sz w:val="18"/>
          <w:szCs w:val="18"/>
        </w:rPr>
      </w:pPr>
    </w:p>
    <w:p w:rsidR="00D82D6F" w:rsidRDefault="00865474" w:rsidP="005D4FAD">
      <w:pPr>
        <w:spacing w:line="240" w:lineRule="exact"/>
        <w:rPr>
          <w:rFonts w:eastAsiaTheme="minorEastAsia"/>
          <w:noProof/>
          <w:lang w:eastAsia="ko-KR"/>
        </w:rPr>
      </w:pPr>
      <w:r w:rsidRPr="005D4FAD">
        <w:rPr>
          <w:rFonts w:eastAsiaTheme="minorEastAsia"/>
          <w:noProof/>
          <w:lang w:eastAsia="ko-KR"/>
        </w:rPr>
        <w:t xml:space="preserve">Where,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I</m:t>
            </m:r>
          </m:e>
          <m:sub>
            <m:r>
              <m:rPr>
                <m:sty m:val="b"/>
              </m:rPr>
              <w:rPr>
                <w:rFonts w:ascii="Cambria Math" w:eastAsiaTheme="minorEastAsia" w:hAnsi="Cambria Math"/>
                <w:noProof/>
                <w:lang w:eastAsia="ko-KR"/>
              </w:rPr>
              <m:t>p</m:t>
            </m:r>
          </m:sub>
        </m:sSub>
      </m:oMath>
      <w:r w:rsidRPr="005D4FAD">
        <w:rPr>
          <w:rFonts w:eastAsiaTheme="minorEastAsia"/>
          <w:noProof/>
          <w:lang w:eastAsia="ko-KR"/>
        </w:rPr>
        <w:t xml:space="preserve"> is the index for pollutant p,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C</m:t>
            </m:r>
          </m:e>
          <m:sub>
            <m:r>
              <m:rPr>
                <m:sty m:val="b"/>
              </m:rPr>
              <w:rPr>
                <w:rFonts w:ascii="Cambria Math" w:eastAsiaTheme="minorEastAsia" w:hAnsi="Cambria Math"/>
                <w:noProof/>
                <w:lang w:eastAsia="ko-KR"/>
              </w:rPr>
              <m:t>p</m:t>
            </m:r>
          </m:sub>
        </m:sSub>
      </m:oMath>
      <w:r w:rsidRPr="005D4FAD">
        <w:rPr>
          <w:rFonts w:eastAsiaTheme="minorEastAsia"/>
          <w:noProof/>
          <w:lang w:eastAsia="ko-KR"/>
        </w:rPr>
        <w:t xml:space="preserve">is the truncated concentration of pollutant, </w:t>
      </w:r>
      <m:oMath>
        <m:sSub>
          <m:sSubPr>
            <m:ctrlPr>
              <w:rPr>
                <w:rFonts w:ascii="Cambria Math" w:eastAsiaTheme="minorEastAsia" w:hAnsi="Cambria Math"/>
                <w:noProof/>
                <w:lang w:eastAsia="ko-KR"/>
              </w:rPr>
            </m:ctrlPr>
          </m:sSubPr>
          <m:e>
            <m:r>
              <m:rPr>
                <m:sty m:val="p"/>
              </m:rPr>
              <w:rPr>
                <w:rFonts w:ascii="Cambria Math" w:eastAsiaTheme="minorEastAsia" w:hAnsi="Cambria Math"/>
                <w:noProof/>
                <w:lang w:eastAsia="ko-KR"/>
              </w:rPr>
              <m:t>BP</m:t>
            </m:r>
          </m:e>
          <m:sub>
            <m:r>
              <m:rPr>
                <m:sty m:val="p"/>
              </m:rPr>
              <w:rPr>
                <w:rFonts w:ascii="Cambria Math" w:eastAsiaTheme="minorEastAsia" w:hAnsi="Cambria Math"/>
                <w:noProof/>
                <w:lang w:eastAsia="ko-KR"/>
              </w:rPr>
              <m:t>HI</m:t>
            </m:r>
          </m:sub>
        </m:sSub>
      </m:oMath>
      <w:r w:rsidRPr="005D4FAD">
        <w:rPr>
          <w:rFonts w:eastAsiaTheme="minorEastAsia"/>
          <w:noProof/>
          <w:lang w:eastAsia="ko-KR"/>
        </w:rPr>
        <w:t xml:space="preserve"> is the concentration breakpoint that is greater than or equal to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C</m:t>
            </m:r>
          </m:e>
          <m:sub>
            <m:r>
              <m:rPr>
                <m:sty m:val="b"/>
              </m:rPr>
              <w:rPr>
                <w:rFonts w:ascii="Cambria Math" w:eastAsiaTheme="minorEastAsia" w:hAnsi="Cambria Math"/>
                <w:noProof/>
                <w:lang w:eastAsia="ko-KR"/>
              </w:rPr>
              <m:t>p</m:t>
            </m:r>
          </m:sub>
        </m:sSub>
      </m:oMath>
      <w:r w:rsidRPr="005D4FAD">
        <w:rPr>
          <w:rFonts w:eastAsiaTheme="minorEastAsia"/>
          <w:noProof/>
          <w:lang w:eastAsia="ko-KR"/>
        </w:rPr>
        <w:t xml:space="preserve">, </w:t>
      </w:r>
      <m:oMath>
        <m:sSub>
          <m:sSubPr>
            <m:ctrlPr>
              <w:rPr>
                <w:rFonts w:ascii="Cambria Math" w:eastAsiaTheme="minorEastAsia" w:hAnsi="Cambria Math"/>
                <w:noProof/>
                <w:lang w:eastAsia="ko-KR"/>
              </w:rPr>
            </m:ctrlPr>
          </m:sSubPr>
          <m:e>
            <m:r>
              <m:rPr>
                <m:sty m:val="p"/>
              </m:rPr>
              <w:rPr>
                <w:rFonts w:ascii="Cambria Math" w:eastAsiaTheme="minorEastAsia" w:hAnsi="Cambria Math"/>
                <w:noProof/>
                <w:lang w:eastAsia="ko-KR"/>
              </w:rPr>
              <m:t>BP</m:t>
            </m:r>
          </m:e>
          <m:sub>
            <m:r>
              <m:rPr>
                <m:sty m:val="p"/>
              </m:rPr>
              <w:rPr>
                <w:rFonts w:ascii="Cambria Math" w:eastAsiaTheme="minorEastAsia" w:hAnsi="Cambria Math"/>
                <w:noProof/>
                <w:lang w:eastAsia="ko-KR"/>
              </w:rPr>
              <m:t>Lo</m:t>
            </m:r>
          </m:sub>
        </m:sSub>
      </m:oMath>
      <w:r w:rsidRPr="005D4FAD">
        <w:rPr>
          <w:rFonts w:eastAsiaTheme="minorEastAsia" w:hint="eastAsia"/>
          <w:noProof/>
          <w:lang w:eastAsia="ko-KR"/>
        </w:rPr>
        <w:t xml:space="preserve"> </w:t>
      </w:r>
      <w:r w:rsidRPr="005D4FAD">
        <w:rPr>
          <w:rFonts w:eastAsiaTheme="minorEastAsia"/>
          <w:noProof/>
          <w:lang w:eastAsia="ko-KR"/>
        </w:rPr>
        <w:t xml:space="preserve">is the concentration breakpoint that is less than or equal to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C</m:t>
            </m:r>
          </m:e>
          <m:sub>
            <m:r>
              <m:rPr>
                <m:sty m:val="b"/>
              </m:rPr>
              <w:rPr>
                <w:rFonts w:ascii="Cambria Math" w:eastAsiaTheme="minorEastAsia" w:hAnsi="Cambria Math"/>
                <w:noProof/>
                <w:lang w:eastAsia="ko-KR"/>
              </w:rPr>
              <m:t>p</m:t>
            </m:r>
          </m:sub>
        </m:sSub>
      </m:oMath>
      <w:r w:rsidRPr="005D4FAD">
        <w:rPr>
          <w:rFonts w:eastAsiaTheme="minorEastAsia" w:hint="eastAsia"/>
          <w:noProof/>
          <w:lang w:eastAsia="ko-KR"/>
        </w:rPr>
        <w:t>,</w:t>
      </w:r>
      <w:r w:rsidRPr="005D4FAD">
        <w:rPr>
          <w:rFonts w:eastAsiaTheme="minorEastAsia"/>
          <w:noProof/>
          <w:lang w:eastAsia="ko-KR"/>
        </w:rPr>
        <w:t xml:space="preserve">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I</m:t>
            </m:r>
          </m:e>
          <m:sub>
            <m:r>
              <m:rPr>
                <m:sty m:val="b"/>
              </m:rPr>
              <w:rPr>
                <w:rFonts w:ascii="Cambria Math" w:eastAsiaTheme="minorEastAsia" w:hAnsi="Cambria Math"/>
                <w:noProof/>
                <w:lang w:eastAsia="ko-KR"/>
              </w:rPr>
              <m:t>Hi</m:t>
            </m:r>
          </m:sub>
        </m:sSub>
      </m:oMath>
      <w:r w:rsidRPr="005D4FAD">
        <w:rPr>
          <w:rFonts w:eastAsiaTheme="minorEastAsia" w:hint="eastAsia"/>
          <w:noProof/>
          <w:lang w:eastAsia="ko-KR"/>
        </w:rPr>
        <w:t xml:space="preserve"> </w:t>
      </w:r>
      <w:r w:rsidRPr="005D4FAD">
        <w:rPr>
          <w:rFonts w:eastAsiaTheme="minorEastAsia"/>
          <w:noProof/>
          <w:lang w:eastAsia="ko-KR"/>
        </w:rPr>
        <w:t xml:space="preserve">is the AQI value corresponding to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BP</m:t>
            </m:r>
          </m:e>
          <m:sub>
            <m:r>
              <m:rPr>
                <m:sty m:val="b"/>
              </m:rPr>
              <w:rPr>
                <w:rFonts w:ascii="Cambria Math" w:eastAsiaTheme="minorEastAsia" w:hAnsi="Cambria Math"/>
                <w:noProof/>
                <w:lang w:eastAsia="ko-KR"/>
              </w:rPr>
              <m:t>HI</m:t>
            </m:r>
          </m:sub>
        </m:sSub>
      </m:oMath>
      <w:r w:rsidRPr="005D4FAD">
        <w:rPr>
          <w:rFonts w:eastAsiaTheme="minorEastAsia"/>
          <w:noProof/>
          <w:lang w:eastAsia="ko-KR"/>
        </w:rPr>
        <w:t xml:space="preserve">,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I</m:t>
            </m:r>
          </m:e>
          <m:sub>
            <m:r>
              <m:rPr>
                <m:sty m:val="b"/>
              </m:rPr>
              <w:rPr>
                <w:rFonts w:ascii="Cambria Math" w:eastAsiaTheme="minorEastAsia" w:hAnsi="Cambria Math"/>
                <w:noProof/>
                <w:lang w:eastAsia="ko-KR"/>
              </w:rPr>
              <m:t>Lo</m:t>
            </m:r>
          </m:sub>
        </m:sSub>
      </m:oMath>
      <w:r w:rsidRPr="005D4FAD">
        <w:rPr>
          <w:rFonts w:eastAsiaTheme="minorEastAsia"/>
          <w:noProof/>
          <w:lang w:eastAsia="ko-KR"/>
        </w:rPr>
        <w:t xml:space="preserve">is the AQI value corresponding to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BP</m:t>
            </m:r>
          </m:e>
          <m:sub>
            <m:r>
              <m:rPr>
                <m:sty m:val="b"/>
              </m:rPr>
              <w:rPr>
                <w:rFonts w:ascii="Cambria Math" w:eastAsiaTheme="minorEastAsia" w:hAnsi="Cambria Math"/>
                <w:noProof/>
                <w:lang w:eastAsia="ko-KR"/>
              </w:rPr>
              <m:t>Lo</m:t>
            </m:r>
          </m:sub>
        </m:sSub>
      </m:oMath>
    </w:p>
    <w:p w:rsidR="005D4FAD" w:rsidRPr="005D4FAD" w:rsidRDefault="005D4FAD" w:rsidP="005D4FAD">
      <w:pPr>
        <w:spacing w:line="240" w:lineRule="exact"/>
        <w:rPr>
          <w:rFonts w:eastAsiaTheme="minorEastAsia"/>
          <w:noProof/>
          <w:lang w:eastAsia="ko-KR"/>
        </w:rPr>
      </w:pPr>
    </w:p>
    <w:p w:rsidR="00D82D6F" w:rsidRPr="009A2423" w:rsidRDefault="00D82D6F" w:rsidP="009A2423">
      <w:pPr>
        <w:pStyle w:val="ad"/>
        <w:keepNext/>
        <w:jc w:val="center"/>
        <w:rPr>
          <w:b w:val="0"/>
        </w:rPr>
      </w:pPr>
      <w:r w:rsidRPr="009A2423">
        <w:rPr>
          <w:b w:val="0"/>
        </w:rPr>
        <w:t xml:space="preserve">Table </w:t>
      </w:r>
      <w:r w:rsidRPr="009A2423">
        <w:rPr>
          <w:b w:val="0"/>
        </w:rPr>
        <w:fldChar w:fldCharType="begin"/>
      </w:r>
      <w:r w:rsidRPr="009A2423">
        <w:rPr>
          <w:b w:val="0"/>
        </w:rPr>
        <w:instrText xml:space="preserve"> SEQ Table \* ARABIC </w:instrText>
      </w:r>
      <w:r w:rsidRPr="009A2423">
        <w:rPr>
          <w:b w:val="0"/>
        </w:rPr>
        <w:fldChar w:fldCharType="separate"/>
      </w:r>
      <w:r w:rsidRPr="009A2423">
        <w:rPr>
          <w:b w:val="0"/>
          <w:noProof/>
        </w:rPr>
        <w:t>1</w:t>
      </w:r>
      <w:r w:rsidRPr="009A2423">
        <w:rPr>
          <w:b w:val="0"/>
        </w:rPr>
        <w:fldChar w:fldCharType="end"/>
      </w:r>
      <w:r w:rsidRPr="009A2423">
        <w:rPr>
          <w:b w:val="0"/>
        </w:rPr>
        <w:t>. Breakpoints and Category of AQI</w:t>
      </w:r>
    </w:p>
    <w:tbl>
      <w:tblPr>
        <w:tblStyle w:val="a5"/>
        <w:tblW w:w="8645" w:type="dxa"/>
        <w:jc w:val="center"/>
        <w:tblLook w:val="04A0" w:firstRow="1" w:lastRow="0" w:firstColumn="1" w:lastColumn="0" w:noHBand="0" w:noVBand="1"/>
      </w:tblPr>
      <w:tblGrid>
        <w:gridCol w:w="988"/>
        <w:gridCol w:w="1278"/>
        <w:gridCol w:w="1279"/>
        <w:gridCol w:w="850"/>
        <w:gridCol w:w="851"/>
        <w:gridCol w:w="992"/>
        <w:gridCol w:w="1134"/>
        <w:gridCol w:w="1273"/>
      </w:tblGrid>
      <w:tr w:rsidR="00A221BB" w:rsidRPr="00310396" w:rsidTr="00A221BB">
        <w:trPr>
          <w:trHeight w:val="166"/>
          <w:jc w:val="center"/>
        </w:trPr>
        <w:tc>
          <w:tcPr>
            <w:tcW w:w="6238" w:type="dxa"/>
            <w:gridSpan w:val="6"/>
            <w:vAlign w:val="center"/>
          </w:tcPr>
          <w:p w:rsidR="00865474" w:rsidRPr="00310396" w:rsidRDefault="00865474" w:rsidP="00310396">
            <w:pPr>
              <w:widowControl/>
              <w:jc w:val="center"/>
              <w:rPr>
                <w:sz w:val="14"/>
                <w:szCs w:val="14"/>
                <w:lang w:val="en-GB"/>
              </w:rPr>
            </w:pPr>
            <w:r w:rsidRPr="00310396">
              <w:rPr>
                <w:sz w:val="14"/>
                <w:szCs w:val="14"/>
                <w:lang w:val="en-GB"/>
              </w:rPr>
              <w:t>These Breakpoints is</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equal this AQI</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and this category</w:t>
            </w:r>
          </w:p>
        </w:tc>
      </w:tr>
      <w:tr w:rsidR="00310396" w:rsidRPr="00310396" w:rsidTr="00A221BB">
        <w:trPr>
          <w:trHeight w:val="253"/>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O3</w:t>
            </w:r>
            <w:r w:rsidR="00A221BB">
              <w:rPr>
                <w:sz w:val="14"/>
                <w:szCs w:val="14"/>
                <w:lang w:val="en-GB"/>
              </w:rPr>
              <w:t xml:space="preserve"> </w:t>
            </w:r>
            <w:r w:rsidRPr="00310396">
              <w:rPr>
                <w:sz w:val="14"/>
                <w:szCs w:val="14"/>
                <w:lang w:val="en-GB"/>
              </w:rPr>
              <w:t>(ppm)</w:t>
            </w:r>
          </w:p>
          <w:p w:rsidR="00865474" w:rsidRPr="00310396" w:rsidRDefault="00865474" w:rsidP="00FB6E4D">
            <w:pPr>
              <w:widowControl/>
              <w:jc w:val="center"/>
              <w:rPr>
                <w:sz w:val="14"/>
                <w:szCs w:val="14"/>
                <w:lang w:val="en-GB"/>
              </w:rPr>
            </w:pPr>
            <w:r w:rsidRPr="00310396">
              <w:rPr>
                <w:sz w:val="14"/>
                <w:szCs w:val="14"/>
                <w:lang w:val="en-GB"/>
              </w:rPr>
              <w:t xml:space="preserve">8 </w:t>
            </w:r>
            <w:proofErr w:type="gramStart"/>
            <w:r w:rsidRPr="00310396">
              <w:rPr>
                <w:sz w:val="14"/>
                <w:szCs w:val="14"/>
                <w:lang w:val="en-GB"/>
              </w:rPr>
              <w:t>hour</w:t>
            </w:r>
            <w:proofErr w:type="gramEnd"/>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PM2.5</w:t>
            </w:r>
            <w:r w:rsidR="00A221BB">
              <w:rPr>
                <w:sz w:val="14"/>
                <w:szCs w:val="14"/>
                <w:lang w:val="en-GB"/>
              </w:rPr>
              <w:t xml:space="preserve"> </w:t>
            </w:r>
            <m:oMath>
              <m:r>
                <m:rPr>
                  <m:sty m:val="p"/>
                </m:rPr>
                <w:rPr>
                  <w:rFonts w:ascii="Cambria Math" w:hAnsi="Cambria Math"/>
                  <w:sz w:val="14"/>
                  <w:szCs w:val="14"/>
                  <w:lang w:val="en-GB"/>
                </w:rPr>
                <m:t>(μg/</m:t>
              </m:r>
              <m:sSup>
                <m:sSupPr>
                  <m:ctrlPr>
                    <w:rPr>
                      <w:rFonts w:ascii="Cambria Math" w:hAnsi="Cambria Math"/>
                      <w:sz w:val="14"/>
                      <w:szCs w:val="14"/>
                      <w:lang w:val="en-GB"/>
                    </w:rPr>
                  </m:ctrlPr>
                </m:sSupPr>
                <m:e>
                  <m:r>
                    <w:rPr>
                      <w:rFonts w:ascii="Cambria Math" w:hAnsi="Cambria Math"/>
                      <w:sz w:val="14"/>
                      <w:szCs w:val="14"/>
                      <w:lang w:val="en-GB"/>
                    </w:rPr>
                    <m:t>m</m:t>
                  </m:r>
                </m:e>
                <m:sup>
                  <m:r>
                    <m:rPr>
                      <m:sty m:val="p"/>
                    </m:rPr>
                    <w:rPr>
                      <w:rFonts w:ascii="Cambria Math" w:hAnsi="Cambria Math"/>
                      <w:sz w:val="14"/>
                      <w:szCs w:val="14"/>
                      <w:lang w:val="en-GB"/>
                    </w:rPr>
                    <m:t>3</m:t>
                  </m:r>
                </m:sup>
              </m:sSup>
              <m:r>
                <m:rPr>
                  <m:sty m:val="p"/>
                </m:rPr>
                <w:rPr>
                  <w:rFonts w:ascii="Cambria Math" w:hAnsi="Cambria Math"/>
                  <w:sz w:val="14"/>
                  <w:szCs w:val="14"/>
                  <w:lang w:val="en-GB"/>
                </w:rPr>
                <m:t>)</m:t>
              </m:r>
            </m:oMath>
          </w:p>
          <w:p w:rsidR="00865474" w:rsidRPr="00310396" w:rsidRDefault="00865474" w:rsidP="00FB6E4D">
            <w:pPr>
              <w:widowControl/>
              <w:jc w:val="center"/>
              <w:rPr>
                <w:sz w:val="14"/>
                <w:szCs w:val="14"/>
                <w:lang w:val="en-GB"/>
              </w:rPr>
            </w:pPr>
            <w:r w:rsidRPr="00310396">
              <w:rPr>
                <w:sz w:val="14"/>
                <w:szCs w:val="14"/>
                <w:lang w:val="en-GB"/>
              </w:rPr>
              <w:t xml:space="preserve">24 </w:t>
            </w:r>
            <w:proofErr w:type="gramStart"/>
            <w:r w:rsidRPr="00310396">
              <w:rPr>
                <w:sz w:val="14"/>
                <w:szCs w:val="14"/>
                <w:lang w:val="en-GB"/>
              </w:rPr>
              <w:t>hour</w:t>
            </w:r>
            <w:proofErr w:type="gramEnd"/>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PM10</w:t>
            </w:r>
            <w:r w:rsidR="00A221BB">
              <w:rPr>
                <w:sz w:val="14"/>
                <w:szCs w:val="14"/>
                <w:lang w:val="en-GB"/>
              </w:rPr>
              <w:t xml:space="preserve"> </w:t>
            </w:r>
            <m:oMath>
              <m:r>
                <m:rPr>
                  <m:sty m:val="p"/>
                </m:rPr>
                <w:rPr>
                  <w:rFonts w:ascii="Cambria Math" w:hAnsi="Cambria Math"/>
                  <w:sz w:val="14"/>
                  <w:szCs w:val="14"/>
                  <w:lang w:val="en-GB"/>
                </w:rPr>
                <m:t>(μg/</m:t>
              </m:r>
              <m:sSup>
                <m:sSupPr>
                  <m:ctrlPr>
                    <w:rPr>
                      <w:rFonts w:ascii="Cambria Math" w:hAnsi="Cambria Math"/>
                      <w:sz w:val="14"/>
                      <w:szCs w:val="14"/>
                      <w:lang w:val="en-GB"/>
                    </w:rPr>
                  </m:ctrlPr>
                </m:sSupPr>
                <m:e>
                  <m:r>
                    <w:rPr>
                      <w:rFonts w:ascii="Cambria Math" w:hAnsi="Cambria Math"/>
                      <w:sz w:val="14"/>
                      <w:szCs w:val="14"/>
                      <w:lang w:val="en-GB"/>
                    </w:rPr>
                    <m:t>m</m:t>
                  </m:r>
                </m:e>
                <m:sup>
                  <m:r>
                    <m:rPr>
                      <m:sty m:val="p"/>
                    </m:rPr>
                    <w:rPr>
                      <w:rFonts w:ascii="Cambria Math" w:hAnsi="Cambria Math"/>
                      <w:sz w:val="14"/>
                      <w:szCs w:val="14"/>
                      <w:lang w:val="en-GB"/>
                    </w:rPr>
                    <m:t>3</m:t>
                  </m:r>
                </m:sup>
              </m:sSup>
              <m:r>
                <m:rPr>
                  <m:sty m:val="p"/>
                </m:rPr>
                <w:rPr>
                  <w:rFonts w:ascii="Cambria Math" w:hAnsi="Cambria Math"/>
                  <w:sz w:val="14"/>
                  <w:szCs w:val="14"/>
                  <w:lang w:val="en-GB"/>
                </w:rPr>
                <m:t>)</m:t>
              </m:r>
            </m:oMath>
          </w:p>
          <w:p w:rsidR="00865474" w:rsidRPr="00310396" w:rsidRDefault="00865474" w:rsidP="00FB6E4D">
            <w:pPr>
              <w:widowControl/>
              <w:jc w:val="center"/>
              <w:rPr>
                <w:sz w:val="14"/>
                <w:szCs w:val="14"/>
                <w:lang w:val="en-GB"/>
              </w:rPr>
            </w:pPr>
            <w:r w:rsidRPr="00310396">
              <w:rPr>
                <w:sz w:val="14"/>
                <w:szCs w:val="14"/>
                <w:lang w:val="en-GB"/>
              </w:rPr>
              <w:t xml:space="preserve">24 </w:t>
            </w:r>
            <w:proofErr w:type="gramStart"/>
            <w:r w:rsidRPr="00310396">
              <w:rPr>
                <w:sz w:val="14"/>
                <w:szCs w:val="14"/>
                <w:lang w:val="en-GB"/>
              </w:rPr>
              <w:t>hour</w:t>
            </w:r>
            <w:proofErr w:type="gramEnd"/>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CO</w:t>
            </w:r>
            <w:r w:rsidR="00A221BB">
              <w:rPr>
                <w:sz w:val="14"/>
                <w:szCs w:val="14"/>
                <w:lang w:val="en-GB"/>
              </w:rPr>
              <w:t xml:space="preserve"> </w:t>
            </w:r>
            <w:r w:rsidRPr="00310396">
              <w:rPr>
                <w:sz w:val="14"/>
                <w:szCs w:val="14"/>
                <w:lang w:val="en-GB"/>
              </w:rPr>
              <w:t>(ppm)</w:t>
            </w:r>
          </w:p>
          <w:p w:rsidR="00865474" w:rsidRPr="00310396" w:rsidRDefault="00865474" w:rsidP="00FB6E4D">
            <w:pPr>
              <w:widowControl/>
              <w:jc w:val="center"/>
              <w:rPr>
                <w:sz w:val="14"/>
                <w:szCs w:val="14"/>
                <w:lang w:val="en-GB"/>
              </w:rPr>
            </w:pPr>
            <w:r w:rsidRPr="00310396">
              <w:rPr>
                <w:sz w:val="14"/>
                <w:szCs w:val="14"/>
                <w:lang w:val="en-GB"/>
              </w:rPr>
              <w:t xml:space="preserve">8 </w:t>
            </w:r>
            <w:proofErr w:type="gramStart"/>
            <w:r w:rsidRPr="00310396">
              <w:rPr>
                <w:sz w:val="14"/>
                <w:szCs w:val="14"/>
                <w:lang w:val="en-GB"/>
              </w:rPr>
              <w:t>hour</w:t>
            </w:r>
            <w:proofErr w:type="gramEnd"/>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SO2</w:t>
            </w:r>
            <w:r w:rsidR="00A221BB">
              <w:rPr>
                <w:sz w:val="14"/>
                <w:szCs w:val="14"/>
                <w:lang w:val="en-GB"/>
              </w:rPr>
              <w:t xml:space="preserve"> </w:t>
            </w:r>
            <w:r w:rsidRPr="00310396">
              <w:rPr>
                <w:sz w:val="14"/>
                <w:szCs w:val="14"/>
                <w:lang w:val="en-GB"/>
              </w:rPr>
              <w:t>(ppb)</w:t>
            </w:r>
          </w:p>
          <w:p w:rsidR="00865474" w:rsidRPr="00310396" w:rsidRDefault="00865474" w:rsidP="00FB6E4D">
            <w:pPr>
              <w:widowControl/>
              <w:jc w:val="center"/>
              <w:rPr>
                <w:sz w:val="14"/>
                <w:szCs w:val="14"/>
                <w:lang w:val="en-GB"/>
              </w:rPr>
            </w:pPr>
            <w:r w:rsidRPr="00310396">
              <w:rPr>
                <w:sz w:val="14"/>
                <w:szCs w:val="14"/>
                <w:lang w:val="en-GB"/>
              </w:rPr>
              <w:t>1 hour</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NO2</w:t>
            </w:r>
            <w:r w:rsidR="00A221BB">
              <w:rPr>
                <w:sz w:val="14"/>
                <w:szCs w:val="14"/>
                <w:lang w:val="en-GB"/>
              </w:rPr>
              <w:t xml:space="preserve"> </w:t>
            </w:r>
            <w:r w:rsidRPr="00310396">
              <w:rPr>
                <w:sz w:val="14"/>
                <w:szCs w:val="14"/>
                <w:lang w:val="en-GB"/>
              </w:rPr>
              <w:t>(ppb)</w:t>
            </w:r>
          </w:p>
          <w:p w:rsidR="00865474" w:rsidRPr="00310396" w:rsidRDefault="00865474" w:rsidP="00FB6E4D">
            <w:pPr>
              <w:widowControl/>
              <w:jc w:val="center"/>
              <w:rPr>
                <w:sz w:val="14"/>
                <w:szCs w:val="14"/>
                <w:lang w:val="en-GB"/>
              </w:rPr>
            </w:pPr>
            <w:r w:rsidRPr="00310396">
              <w:rPr>
                <w:sz w:val="14"/>
                <w:szCs w:val="14"/>
                <w:lang w:val="en-GB"/>
              </w:rPr>
              <w:t>1 hour</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AQI</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w:t>
            </w:r>
          </w:p>
        </w:tc>
      </w:tr>
      <w:tr w:rsidR="00310396" w:rsidRPr="00310396" w:rsidTr="00A221BB">
        <w:trPr>
          <w:trHeight w:val="161"/>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0.000-0.054</w:t>
            </w:r>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0.0-12.0</w:t>
            </w:r>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0-54</w:t>
            </w:r>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0.0-4.4</w:t>
            </w:r>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0-35</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0-53</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0-50</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Good</w:t>
            </w:r>
          </w:p>
        </w:tc>
      </w:tr>
      <w:tr w:rsidR="00310396" w:rsidRPr="00310396" w:rsidTr="00A221BB">
        <w:trPr>
          <w:trHeight w:val="166"/>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0.055-0.070</w:t>
            </w:r>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12.1-35.4</w:t>
            </w:r>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55-154</w:t>
            </w:r>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4.5-9.4</w:t>
            </w:r>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36-75</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54-100</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51-100</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Moderate</w:t>
            </w:r>
          </w:p>
        </w:tc>
      </w:tr>
      <w:tr w:rsidR="00310396" w:rsidRPr="00310396" w:rsidTr="00A221BB">
        <w:trPr>
          <w:trHeight w:val="166"/>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0.071-0.085</w:t>
            </w:r>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35.5-55.4</w:t>
            </w:r>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155-254</w:t>
            </w:r>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9.5-12.4</w:t>
            </w:r>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76-185</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101-360</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101-150</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Unhealthy for Sensitive Groups</w:t>
            </w:r>
          </w:p>
        </w:tc>
      </w:tr>
      <w:tr w:rsidR="00310396" w:rsidRPr="00310396" w:rsidTr="00A221BB">
        <w:trPr>
          <w:trHeight w:val="166"/>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0.086-0.105</w:t>
            </w:r>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55.5-150.4</w:t>
            </w:r>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255-354</w:t>
            </w:r>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12.5-15.4</w:t>
            </w:r>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186-304</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361-649</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151-200</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Unhealthy</w:t>
            </w:r>
          </w:p>
        </w:tc>
      </w:tr>
      <w:tr w:rsidR="00310396" w:rsidRPr="00310396" w:rsidTr="00A221BB">
        <w:trPr>
          <w:trHeight w:val="161"/>
          <w:jc w:val="center"/>
        </w:trPr>
        <w:tc>
          <w:tcPr>
            <w:tcW w:w="988" w:type="dxa"/>
            <w:vAlign w:val="center"/>
          </w:tcPr>
          <w:p w:rsidR="00865474" w:rsidRPr="00310396" w:rsidRDefault="00865474" w:rsidP="00FB6E4D">
            <w:pPr>
              <w:widowControl/>
              <w:jc w:val="center"/>
              <w:rPr>
                <w:sz w:val="14"/>
                <w:szCs w:val="14"/>
                <w:lang w:val="en-GB"/>
              </w:rPr>
            </w:pPr>
            <w:r w:rsidRPr="00310396">
              <w:rPr>
                <w:sz w:val="14"/>
                <w:szCs w:val="14"/>
                <w:lang w:val="en-GB"/>
              </w:rPr>
              <w:t>0.106-0.200</w:t>
            </w:r>
          </w:p>
        </w:tc>
        <w:tc>
          <w:tcPr>
            <w:tcW w:w="1278" w:type="dxa"/>
            <w:vAlign w:val="center"/>
          </w:tcPr>
          <w:p w:rsidR="00865474" w:rsidRPr="00310396" w:rsidRDefault="00865474" w:rsidP="00FB6E4D">
            <w:pPr>
              <w:widowControl/>
              <w:jc w:val="center"/>
              <w:rPr>
                <w:sz w:val="14"/>
                <w:szCs w:val="14"/>
                <w:lang w:val="en-GB"/>
              </w:rPr>
            </w:pPr>
            <w:r w:rsidRPr="00310396">
              <w:rPr>
                <w:sz w:val="14"/>
                <w:szCs w:val="14"/>
                <w:lang w:val="en-GB"/>
              </w:rPr>
              <w:t>150.5-250.4</w:t>
            </w:r>
          </w:p>
        </w:tc>
        <w:tc>
          <w:tcPr>
            <w:tcW w:w="1279" w:type="dxa"/>
            <w:vAlign w:val="center"/>
          </w:tcPr>
          <w:p w:rsidR="00865474" w:rsidRPr="00310396" w:rsidRDefault="00865474" w:rsidP="00FB6E4D">
            <w:pPr>
              <w:widowControl/>
              <w:jc w:val="center"/>
              <w:rPr>
                <w:sz w:val="14"/>
                <w:szCs w:val="14"/>
                <w:lang w:val="en-GB"/>
              </w:rPr>
            </w:pPr>
            <w:r w:rsidRPr="00310396">
              <w:rPr>
                <w:sz w:val="14"/>
                <w:szCs w:val="14"/>
                <w:lang w:val="en-GB"/>
              </w:rPr>
              <w:t>355-424</w:t>
            </w:r>
          </w:p>
        </w:tc>
        <w:tc>
          <w:tcPr>
            <w:tcW w:w="850" w:type="dxa"/>
            <w:vAlign w:val="center"/>
          </w:tcPr>
          <w:p w:rsidR="00865474" w:rsidRPr="00310396" w:rsidRDefault="00865474" w:rsidP="00FB6E4D">
            <w:pPr>
              <w:widowControl/>
              <w:jc w:val="center"/>
              <w:rPr>
                <w:sz w:val="14"/>
                <w:szCs w:val="14"/>
                <w:lang w:val="en-GB"/>
              </w:rPr>
            </w:pPr>
            <w:r w:rsidRPr="00310396">
              <w:rPr>
                <w:sz w:val="14"/>
                <w:szCs w:val="14"/>
                <w:lang w:val="en-GB"/>
              </w:rPr>
              <w:t>15.5-30.4</w:t>
            </w:r>
          </w:p>
        </w:tc>
        <w:tc>
          <w:tcPr>
            <w:tcW w:w="851" w:type="dxa"/>
            <w:vAlign w:val="center"/>
          </w:tcPr>
          <w:p w:rsidR="00865474" w:rsidRPr="00310396" w:rsidRDefault="00865474" w:rsidP="00FB6E4D">
            <w:pPr>
              <w:widowControl/>
              <w:jc w:val="center"/>
              <w:rPr>
                <w:sz w:val="14"/>
                <w:szCs w:val="14"/>
                <w:lang w:val="en-GB"/>
              </w:rPr>
            </w:pPr>
            <w:r w:rsidRPr="00310396">
              <w:rPr>
                <w:sz w:val="14"/>
                <w:szCs w:val="14"/>
                <w:lang w:val="en-GB"/>
              </w:rPr>
              <w:t>305-604</w:t>
            </w:r>
          </w:p>
        </w:tc>
        <w:tc>
          <w:tcPr>
            <w:tcW w:w="992" w:type="dxa"/>
            <w:vAlign w:val="center"/>
          </w:tcPr>
          <w:p w:rsidR="00865474" w:rsidRPr="00310396" w:rsidRDefault="00865474" w:rsidP="00FB6E4D">
            <w:pPr>
              <w:widowControl/>
              <w:jc w:val="center"/>
              <w:rPr>
                <w:sz w:val="14"/>
                <w:szCs w:val="14"/>
                <w:lang w:val="en-GB"/>
              </w:rPr>
            </w:pPr>
            <w:r w:rsidRPr="00310396">
              <w:rPr>
                <w:sz w:val="14"/>
                <w:szCs w:val="14"/>
                <w:lang w:val="en-GB"/>
              </w:rPr>
              <w:t>650-1249</w:t>
            </w:r>
          </w:p>
        </w:tc>
        <w:tc>
          <w:tcPr>
            <w:tcW w:w="1134" w:type="dxa"/>
            <w:vAlign w:val="center"/>
          </w:tcPr>
          <w:p w:rsidR="00865474" w:rsidRPr="00310396" w:rsidRDefault="00865474" w:rsidP="00FB6E4D">
            <w:pPr>
              <w:widowControl/>
              <w:jc w:val="center"/>
              <w:rPr>
                <w:sz w:val="14"/>
                <w:szCs w:val="14"/>
                <w:lang w:val="en-GB"/>
              </w:rPr>
            </w:pPr>
            <w:r w:rsidRPr="00310396">
              <w:rPr>
                <w:sz w:val="14"/>
                <w:szCs w:val="14"/>
                <w:lang w:val="en-GB"/>
              </w:rPr>
              <w:t>201-300</w:t>
            </w:r>
          </w:p>
        </w:tc>
        <w:tc>
          <w:tcPr>
            <w:tcW w:w="1273" w:type="dxa"/>
            <w:vAlign w:val="center"/>
          </w:tcPr>
          <w:p w:rsidR="00865474" w:rsidRPr="00310396" w:rsidRDefault="00865474" w:rsidP="00FB6E4D">
            <w:pPr>
              <w:widowControl/>
              <w:jc w:val="center"/>
              <w:rPr>
                <w:sz w:val="14"/>
                <w:szCs w:val="14"/>
                <w:lang w:val="en-GB"/>
              </w:rPr>
            </w:pPr>
            <w:r w:rsidRPr="00310396">
              <w:rPr>
                <w:sz w:val="14"/>
                <w:szCs w:val="14"/>
                <w:lang w:val="en-GB"/>
              </w:rPr>
              <w:t>Very unhealthy</w:t>
            </w:r>
          </w:p>
        </w:tc>
      </w:tr>
    </w:tbl>
    <w:p w:rsidR="00310396" w:rsidRDefault="00310396" w:rsidP="00446BED">
      <w:pPr>
        <w:spacing w:line="240" w:lineRule="exact"/>
        <w:rPr>
          <w:u w:val="single"/>
          <w:lang w:val="en-GB"/>
        </w:rPr>
      </w:pPr>
    </w:p>
    <w:p w:rsidR="006B0CD0" w:rsidRDefault="006B0CD0" w:rsidP="00446BED">
      <w:pPr>
        <w:spacing w:line="240" w:lineRule="exact"/>
        <w:rPr>
          <w:u w:val="single"/>
          <w:lang w:val="en-GB"/>
        </w:rPr>
      </w:pPr>
      <w:r>
        <w:rPr>
          <w:u w:val="single"/>
          <w:lang w:val="en-GB"/>
        </w:rPr>
        <w:t>Population</w:t>
      </w:r>
      <w:r w:rsidR="00631A35">
        <w:rPr>
          <w:u w:val="single"/>
          <w:lang w:val="en-GB"/>
        </w:rPr>
        <w:t xml:space="preserve">-weight </w:t>
      </w:r>
      <w:r>
        <w:rPr>
          <w:u w:val="single"/>
          <w:lang w:val="en-GB"/>
        </w:rPr>
        <w:t>exposure</w:t>
      </w:r>
    </w:p>
    <w:p w:rsidR="00310396" w:rsidRDefault="00D927C9" w:rsidP="00310396">
      <w:pPr>
        <w:widowControl/>
        <w:ind w:firstLineChars="150" w:firstLine="300"/>
        <w:rPr>
          <w:rFonts w:eastAsiaTheme="minorEastAsia"/>
          <w:noProof/>
          <w:lang w:eastAsia="ko-KR"/>
        </w:rPr>
      </w:pPr>
      <w:r w:rsidRPr="00D927C9">
        <w:rPr>
          <w:rFonts w:eastAsiaTheme="minorEastAsia"/>
          <w:noProof/>
          <w:lang w:eastAsia="ko-KR"/>
        </w:rPr>
        <w:t>Population-weight exposure rate of air pollutants was calculated by following equation (Marguerite Nyhan etc., 2016).</w:t>
      </w:r>
      <w:r w:rsidR="00310396">
        <w:rPr>
          <w:rFonts w:eastAsiaTheme="minorEastAsia"/>
          <w:noProof/>
          <w:lang w:eastAsia="ko-KR"/>
        </w:rPr>
        <w:tab/>
      </w:r>
      <w:r w:rsidR="00310396">
        <w:rPr>
          <w:rFonts w:eastAsiaTheme="minorEastAsia"/>
          <w:noProof/>
          <w:lang w:eastAsia="ko-KR"/>
        </w:rPr>
        <w:tab/>
      </w:r>
      <w:r w:rsidR="00310396">
        <w:rPr>
          <w:rFonts w:eastAsiaTheme="minorEastAsia"/>
          <w:noProof/>
          <w:lang w:eastAsia="ko-KR"/>
        </w:rPr>
        <w:tab/>
      </w:r>
    </w:p>
    <w:p w:rsidR="004D6F30" w:rsidRPr="00D82D6F" w:rsidRDefault="008271CC" w:rsidP="00310396">
      <w:pPr>
        <w:widowControl/>
        <w:rPr>
          <w:rFonts w:eastAsia="Yu Mincho"/>
          <w:iCs/>
          <w:kern w:val="0"/>
          <w:sz w:val="18"/>
          <w:szCs w:val="18"/>
        </w:rPr>
      </w:pPr>
      <m:oMathPara>
        <m:oMath>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E</m:t>
              </m:r>
            </m:e>
            <m:sub>
              <m:r>
                <m:rPr>
                  <m:sty m:val="p"/>
                </m:rPr>
                <w:rPr>
                  <w:rFonts w:ascii="Cambria Math" w:eastAsia="굴림" w:hAnsi="Cambria Math"/>
                  <w:kern w:val="0"/>
                  <w:sz w:val="18"/>
                  <w:szCs w:val="18"/>
                </w:rPr>
                <m:t>i</m:t>
              </m:r>
            </m:sub>
          </m:sSub>
          <m:r>
            <m:rPr>
              <m:sty m:val="p"/>
            </m:rPr>
            <w:rPr>
              <w:rFonts w:ascii="Cambria Math" w:eastAsia="굴림" w:hAnsi="Cambria Math"/>
              <w:kern w:val="0"/>
              <w:sz w:val="18"/>
              <w:szCs w:val="18"/>
            </w:rPr>
            <m:t xml:space="preserve">= </m:t>
          </m:r>
          <m:nary>
            <m:naryPr>
              <m:chr m:val="∑"/>
              <m:limLoc m:val="subSup"/>
              <m:ctrlPr>
                <w:rPr>
                  <w:rFonts w:ascii="Cambria Math" w:eastAsia="굴림" w:hAnsi="Cambria Math"/>
                  <w:iCs/>
                  <w:kern w:val="0"/>
                  <w:sz w:val="18"/>
                  <w:szCs w:val="18"/>
                </w:rPr>
              </m:ctrlPr>
            </m:naryPr>
            <m:sub>
              <m:r>
                <m:rPr>
                  <m:sty m:val="p"/>
                </m:rPr>
                <w:rPr>
                  <w:rFonts w:ascii="Cambria Math" w:eastAsia="굴림" w:hAnsi="Cambria Math"/>
                  <w:kern w:val="0"/>
                  <w:sz w:val="18"/>
                  <w:szCs w:val="18"/>
                </w:rPr>
                <m:t>j=1</m:t>
              </m:r>
            </m:sub>
            <m:sup>
              <m:r>
                <m:rPr>
                  <m:sty m:val="p"/>
                </m:rPr>
                <w:rPr>
                  <w:rFonts w:ascii="Cambria Math" w:eastAsia="굴림" w:hAnsi="Cambria Math"/>
                  <w:kern w:val="0"/>
                  <w:sz w:val="18"/>
                  <w:szCs w:val="18"/>
                </w:rPr>
                <m:t>24</m:t>
              </m:r>
            </m:sup>
            <m:e>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C</m:t>
                  </m:r>
                </m:e>
                <m:sub>
                  <m:r>
                    <m:rPr>
                      <m:sty m:val="p"/>
                    </m:rPr>
                    <w:rPr>
                      <w:rFonts w:ascii="Cambria Math" w:eastAsia="굴림" w:hAnsi="Cambria Math"/>
                      <w:kern w:val="0"/>
                      <w:sz w:val="18"/>
                      <w:szCs w:val="18"/>
                    </w:rPr>
                    <m:t>i</m:t>
                  </m:r>
                </m:sub>
              </m:sSub>
              <m:sSub>
                <m:sSubPr>
                  <m:ctrlPr>
                    <w:rPr>
                      <w:rFonts w:ascii="Cambria Math" w:eastAsia="굴림" w:hAnsi="Cambria Math"/>
                      <w:iCs/>
                      <w:kern w:val="0"/>
                      <w:sz w:val="18"/>
                      <w:szCs w:val="18"/>
                    </w:rPr>
                  </m:ctrlPr>
                </m:sSubPr>
                <m:e>
                  <m:r>
                    <m:rPr>
                      <m:sty m:val="p"/>
                    </m:rPr>
                    <w:rPr>
                      <w:rFonts w:ascii="Cambria Math" w:eastAsia="굴림" w:hAnsi="Cambria Math"/>
                      <w:kern w:val="0"/>
                      <w:sz w:val="18"/>
                      <w:szCs w:val="18"/>
                    </w:rPr>
                    <m:t>P</m:t>
                  </m:r>
                </m:e>
                <m:sub>
                  <m:r>
                    <m:rPr>
                      <m:sty m:val="p"/>
                    </m:rPr>
                    <w:rPr>
                      <w:rFonts w:ascii="Cambria Math" w:eastAsia="굴림" w:hAnsi="Cambria Math"/>
                      <w:kern w:val="0"/>
                      <w:sz w:val="18"/>
                      <w:szCs w:val="18"/>
                    </w:rPr>
                    <m:t>ij</m:t>
                  </m:r>
                </m:sub>
              </m:sSub>
            </m:e>
          </m:nary>
        </m:oMath>
      </m:oMathPara>
    </w:p>
    <w:p w:rsidR="00D82D6F" w:rsidRPr="00D82D6F" w:rsidRDefault="00D82D6F" w:rsidP="00310396">
      <w:pPr>
        <w:widowControl/>
        <w:rPr>
          <w:rFonts w:eastAsia="Yu Mincho"/>
          <w:iCs/>
          <w:kern w:val="0"/>
          <w:sz w:val="18"/>
          <w:szCs w:val="18"/>
        </w:rPr>
      </w:pPr>
    </w:p>
    <w:p w:rsidR="00865474" w:rsidRPr="005D4FAD" w:rsidRDefault="00865474" w:rsidP="00865474">
      <w:pPr>
        <w:widowControl/>
        <w:rPr>
          <w:rFonts w:eastAsiaTheme="minorEastAsia"/>
          <w:noProof/>
          <w:lang w:eastAsia="ko-KR"/>
        </w:rPr>
      </w:pPr>
      <w:r w:rsidRPr="005D4FAD">
        <w:rPr>
          <w:rFonts w:eastAsiaTheme="minorEastAsia"/>
          <w:noProof/>
          <w:lang w:eastAsia="ko-KR"/>
        </w:rPr>
        <w:t xml:space="preserve">Where,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E</m:t>
            </m:r>
          </m:e>
          <m:sub>
            <m:r>
              <m:rPr>
                <m:sty m:val="b"/>
              </m:rPr>
              <w:rPr>
                <w:rFonts w:ascii="Cambria Math" w:eastAsiaTheme="minorEastAsia" w:hAnsi="Cambria Math"/>
                <w:noProof/>
                <w:lang w:eastAsia="ko-KR"/>
              </w:rPr>
              <m:t>i</m:t>
            </m:r>
          </m:sub>
        </m:sSub>
      </m:oMath>
      <w:r w:rsidRPr="005D4FAD">
        <w:rPr>
          <w:rFonts w:eastAsiaTheme="minorEastAsia"/>
          <w:noProof/>
          <w:lang w:eastAsia="ko-KR"/>
        </w:rPr>
        <w:t xml:space="preserve">is the daily total population exposure for each district i,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C</m:t>
            </m:r>
          </m:e>
          <m:sub>
            <m:r>
              <m:rPr>
                <m:sty m:val="b"/>
              </m:rPr>
              <w:rPr>
                <w:rFonts w:ascii="Cambria Math" w:eastAsiaTheme="minorEastAsia" w:hAnsi="Cambria Math"/>
                <w:noProof/>
                <w:lang w:eastAsia="ko-KR"/>
              </w:rPr>
              <m:t>i</m:t>
            </m:r>
          </m:sub>
        </m:sSub>
      </m:oMath>
      <w:r w:rsidRPr="005D4FAD">
        <w:rPr>
          <w:rFonts w:eastAsiaTheme="minorEastAsia"/>
          <w:noProof/>
          <w:lang w:eastAsia="ko-KR"/>
        </w:rPr>
        <w:t xml:space="preserve">is the calculated AQI value in district i on each day, </w:t>
      </w:r>
      <m:oMath>
        <m:sSub>
          <m:sSubPr>
            <m:ctrlPr>
              <w:rPr>
                <w:rFonts w:ascii="Cambria Math" w:eastAsiaTheme="minorEastAsia" w:hAnsi="Cambria Math"/>
                <w:noProof/>
                <w:lang w:eastAsia="ko-KR"/>
              </w:rPr>
            </m:ctrlPr>
          </m:sSubPr>
          <m:e>
            <m:r>
              <m:rPr>
                <m:sty m:val="b"/>
              </m:rPr>
              <w:rPr>
                <w:rFonts w:ascii="Cambria Math" w:eastAsiaTheme="minorEastAsia" w:hAnsi="Cambria Math"/>
                <w:noProof/>
                <w:lang w:eastAsia="ko-KR"/>
              </w:rPr>
              <m:t>P</m:t>
            </m:r>
          </m:e>
          <m:sub>
            <m:r>
              <m:rPr>
                <m:sty m:val="b"/>
              </m:rPr>
              <w:rPr>
                <w:rFonts w:ascii="Cambria Math" w:eastAsiaTheme="minorEastAsia" w:hAnsi="Cambria Math"/>
                <w:noProof/>
                <w:lang w:eastAsia="ko-KR"/>
              </w:rPr>
              <m:t>ij</m:t>
            </m:r>
          </m:sub>
        </m:sSub>
      </m:oMath>
      <w:r w:rsidRPr="005D4FAD">
        <w:rPr>
          <w:rFonts w:eastAsiaTheme="minorEastAsia"/>
          <w:noProof/>
          <w:lang w:eastAsia="ko-KR"/>
        </w:rPr>
        <w:t>is the percent of the total population of Seoul present in district i at time j (which is hour of the day) </w:t>
      </w:r>
    </w:p>
    <w:p w:rsidR="00753619" w:rsidRDefault="00753619" w:rsidP="00865474">
      <w:pPr>
        <w:widowControl/>
        <w:rPr>
          <w:u w:val="single"/>
          <w:lang w:val="en-GB"/>
        </w:rPr>
      </w:pPr>
    </w:p>
    <w:p w:rsidR="00DE15AB" w:rsidRDefault="00753619" w:rsidP="00DE15AB">
      <w:pPr>
        <w:widowControl/>
        <w:rPr>
          <w:rFonts w:eastAsiaTheme="minorEastAsia"/>
          <w:noProof/>
          <w:lang w:val="en-GB" w:eastAsia="ko-KR"/>
        </w:rPr>
      </w:pPr>
      <w:r w:rsidRPr="00753619">
        <w:rPr>
          <w:u w:val="single"/>
          <w:lang w:val="en-GB"/>
        </w:rPr>
        <w:t>Human response pattern on air quality</w:t>
      </w:r>
    </w:p>
    <w:p w:rsidR="00753619" w:rsidRDefault="00D927C9" w:rsidP="00DE15AB">
      <w:pPr>
        <w:widowControl/>
        <w:ind w:firstLineChars="150" w:firstLine="300"/>
        <w:rPr>
          <w:rFonts w:eastAsiaTheme="minorEastAsia"/>
          <w:noProof/>
          <w:lang w:eastAsia="ko-KR"/>
        </w:rPr>
      </w:pPr>
      <w:r w:rsidRPr="00D927C9">
        <w:rPr>
          <w:rFonts w:eastAsiaTheme="minorEastAsia"/>
          <w:noProof/>
          <w:lang w:eastAsia="ko-KR"/>
        </w:rPr>
        <w:t>We analyzed floating population pattern on weekdays and weekend with AQI by different age groups. Age groups are divided as Working age (15-64) and Elderly (over 65) by considering Organization for Economic Co-operation and Development (OECD) age group definition. We considered hourly air pollution data and hourly floating population data between January to April in 2018, when air pollution is highest in Korea. We focused on ‘Working hours’ (12pm to 5pm) as commuting time would show a different pattern. Then we selected the highest population-weighted exposed neighbourhood (for both age groups) to conduct deeper analysis on human response pattern on air quality. </w:t>
      </w:r>
    </w:p>
    <w:p w:rsidR="00972A0F" w:rsidRPr="00D927C9" w:rsidRDefault="00972A0F" w:rsidP="00310396">
      <w:pPr>
        <w:spacing w:line="240" w:lineRule="exact"/>
        <w:ind w:firstLineChars="150" w:firstLine="300"/>
        <w:rPr>
          <w:rFonts w:eastAsiaTheme="minorEastAsia"/>
          <w:noProof/>
          <w:lang w:eastAsia="ko-KR"/>
        </w:rPr>
      </w:pPr>
    </w:p>
    <w:p w:rsidR="001A052D" w:rsidRDefault="006B0CD0" w:rsidP="006B0CD0">
      <w:pPr>
        <w:spacing w:line="240" w:lineRule="exact"/>
        <w:rPr>
          <w:rFonts w:eastAsiaTheme="minorEastAsia"/>
          <w:noProof/>
          <w:lang w:eastAsia="ko-KR"/>
        </w:rPr>
      </w:pPr>
      <w:r w:rsidRPr="00753619">
        <w:rPr>
          <w:rFonts w:eastAsiaTheme="minorEastAsia"/>
          <w:noProof/>
          <w:lang w:eastAsia="ko-KR"/>
        </w:rPr>
        <w:lastRenderedPageBreak/>
        <w:t>RESULT</w:t>
      </w:r>
      <w:r w:rsidR="006C6228" w:rsidRPr="00753619">
        <w:rPr>
          <w:rFonts w:eastAsiaTheme="minorEastAsia"/>
          <w:noProof/>
          <w:lang w:eastAsia="ko-KR"/>
        </w:rPr>
        <w:t xml:space="preserve"> AND DISCUSSION</w:t>
      </w:r>
    </w:p>
    <w:p w:rsidR="004D6F30" w:rsidRPr="00310396" w:rsidRDefault="004D6F30" w:rsidP="006B0CD0">
      <w:pPr>
        <w:spacing w:line="240" w:lineRule="exact"/>
        <w:rPr>
          <w:rFonts w:eastAsiaTheme="minorEastAsia"/>
          <w:noProof/>
          <w:lang w:eastAsia="ko-KR"/>
        </w:rPr>
      </w:pPr>
    </w:p>
    <w:p w:rsidR="00D82D6F" w:rsidRDefault="00B84FA6" w:rsidP="00D82D6F">
      <w:pPr>
        <w:spacing w:line="240" w:lineRule="exact"/>
        <w:rPr>
          <w:u w:val="single"/>
          <w:lang w:val="en-GB"/>
        </w:rPr>
      </w:pPr>
      <w:r>
        <w:rPr>
          <w:rFonts w:ascii="Arial" w:hAnsi="Arial" w:cs="Arial"/>
          <w:noProof/>
          <w:color w:val="000000"/>
          <w:sz w:val="22"/>
          <w:szCs w:val="22"/>
        </w:rPr>
        <w:drawing>
          <wp:anchor distT="0" distB="0" distL="114300" distR="114300" simplePos="0" relativeHeight="251660288" behindDoc="0" locked="0" layoutInCell="1" allowOverlap="1">
            <wp:simplePos x="0" y="0"/>
            <wp:positionH relativeFrom="page">
              <wp:posOffset>5671243</wp:posOffset>
            </wp:positionH>
            <wp:positionV relativeFrom="paragraph">
              <wp:posOffset>194194</wp:posOffset>
            </wp:positionV>
            <wp:extent cx="1668145" cy="1558290"/>
            <wp:effectExtent l="0" t="0" r="8255" b="3810"/>
            <wp:wrapSquare wrapText="bothSides"/>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145"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rPr>
        <w:drawing>
          <wp:anchor distT="0" distB="0" distL="114300" distR="114300" simplePos="0" relativeHeight="251658240" behindDoc="0" locked="0" layoutInCell="1" allowOverlap="1">
            <wp:simplePos x="0" y="0"/>
            <wp:positionH relativeFrom="margin">
              <wp:posOffset>-264898</wp:posOffset>
            </wp:positionH>
            <wp:positionV relativeFrom="paragraph">
              <wp:posOffset>169545</wp:posOffset>
            </wp:positionV>
            <wp:extent cx="3261995" cy="1523365"/>
            <wp:effectExtent l="0" t="0" r="0" b="635"/>
            <wp:wrapSquare wrapText="bothSides"/>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199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rPr>
        <w:drawing>
          <wp:anchor distT="0" distB="0" distL="114300" distR="114300" simplePos="0" relativeHeight="251657215" behindDoc="0" locked="0" layoutInCell="1" allowOverlap="1">
            <wp:simplePos x="0" y="0"/>
            <wp:positionH relativeFrom="margin">
              <wp:posOffset>2966376</wp:posOffset>
            </wp:positionH>
            <wp:positionV relativeFrom="paragraph">
              <wp:posOffset>192405</wp:posOffset>
            </wp:positionV>
            <wp:extent cx="1790700" cy="1517650"/>
            <wp:effectExtent l="0" t="0" r="0" b="6350"/>
            <wp:wrapThrough wrapText="bothSides">
              <wp:wrapPolygon edited="0">
                <wp:start x="0" y="0"/>
                <wp:lineTo x="0" y="21419"/>
                <wp:lineTo x="21370" y="21419"/>
                <wp:lineTo x="21370" y="0"/>
                <wp:lineTo x="0" y="0"/>
              </wp:wrapPolygon>
            </wp:wrapThrough>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070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52D">
        <w:rPr>
          <w:u w:val="single"/>
          <w:lang w:val="en-GB"/>
        </w:rPr>
        <w:t xml:space="preserve">Air quality </w:t>
      </w:r>
      <w:r w:rsidR="003D489D">
        <w:rPr>
          <w:u w:val="single"/>
          <w:lang w:val="en-GB"/>
        </w:rPr>
        <w:t xml:space="preserve">Index </w:t>
      </w:r>
      <w:r w:rsidR="001A052D">
        <w:rPr>
          <w:u w:val="single"/>
          <w:lang w:val="en-GB"/>
        </w:rPr>
        <w:t>of Seoul</w:t>
      </w:r>
    </w:p>
    <w:p w:rsidR="00753619" w:rsidRPr="00D82D6F" w:rsidRDefault="00753619" w:rsidP="00D82D6F">
      <w:pPr>
        <w:spacing w:line="240" w:lineRule="exact"/>
        <w:jc w:val="center"/>
        <w:rPr>
          <w:u w:val="single"/>
          <w:lang w:val="en-GB"/>
        </w:rPr>
      </w:pPr>
      <w:r w:rsidRPr="00753619">
        <w:rPr>
          <w:rFonts w:eastAsiaTheme="minorEastAsia"/>
          <w:noProof/>
          <w:lang w:eastAsia="ko-KR"/>
        </w:rPr>
        <w:t xml:space="preserve">Figure 1. Analysis of air pollution in Seoul in 2018 with </w:t>
      </w:r>
      <w:r w:rsidR="00446BED">
        <w:rPr>
          <w:rFonts w:eastAsiaTheme="minorEastAsia"/>
          <w:noProof/>
          <w:lang w:eastAsia="ko-KR"/>
        </w:rPr>
        <w:t>AQI.</w:t>
      </w:r>
    </w:p>
    <w:p w:rsidR="00E6471E" w:rsidRPr="00A221BB" w:rsidRDefault="00446BED" w:rsidP="00A221BB">
      <w:pPr>
        <w:widowControl/>
        <w:spacing w:before="240" w:after="240"/>
        <w:textAlignment w:val="baseline"/>
        <w:rPr>
          <w:rFonts w:ascii="Arial" w:eastAsia="굴림" w:hAnsi="Arial" w:cs="Arial"/>
          <w:kern w:val="0"/>
          <w:sz w:val="22"/>
          <w:szCs w:val="22"/>
          <w:lang w:eastAsia="ko-KR"/>
        </w:rPr>
      </w:pPr>
      <w:r w:rsidRPr="00446BED">
        <w:rPr>
          <w:rFonts w:eastAsiaTheme="minorEastAsia"/>
          <w:noProof/>
          <w:lang w:eastAsia="ko-KR"/>
        </w:rPr>
        <w:t xml:space="preserve">Figure 1 (a) shows fluctuating patterns of daily AQI of 25 districts in Seoul over 2018. High polluted days which are over 100 AQI (unhealthy for sensitive groups) are more frequent in Winter (November – February) and Spring (March - May) season in Korea. This seasonal difference of AQI might be attributed to higher fuel consumption and temperature inversion associated with the winter and Spring season. (Hyeran Choi etc., 2018), Figure 1 (b) shows the average of AQI in each district </w:t>
      </w:r>
      <w:r w:rsidR="00972A0F">
        <w:rPr>
          <w:rFonts w:eastAsiaTheme="minorEastAsia"/>
          <w:noProof/>
          <w:lang w:eastAsia="ko-KR"/>
        </w:rPr>
        <w:t xml:space="preserve">with air quality monitortinig stations </w:t>
      </w:r>
      <w:r w:rsidRPr="00446BED">
        <w:rPr>
          <w:rFonts w:eastAsiaTheme="minorEastAsia"/>
          <w:noProof/>
          <w:lang w:eastAsia="ko-KR"/>
        </w:rPr>
        <w:t>in Seoul over 2018 using GIS software. The average value of AQI over 2018 of each district was between 60 to 85. The most polluted areas in 2018 were ‘Yengdeungpo-gu’ and ‘Gwanak-gu’. In figure 1(c), AQI were highly correlated with PM2.5 (0.98) and PM10 (0.88) compared to other pollutants such as Ozone (-0.086), CO (0.65), NO2 (0.67), and SO2 (0.45).</w:t>
      </w:r>
      <w:r w:rsidRPr="00446BED">
        <w:rPr>
          <w:rFonts w:ascii="Arial" w:eastAsia="굴림" w:hAnsi="Arial" w:cs="Arial"/>
          <w:color w:val="000000"/>
          <w:kern w:val="0"/>
          <w:sz w:val="22"/>
          <w:szCs w:val="22"/>
          <w:shd w:val="clear" w:color="auto" w:fill="FFFFFF"/>
          <w:lang w:eastAsia="ko-KR"/>
        </w:rPr>
        <w:t> </w:t>
      </w:r>
    </w:p>
    <w:p w:rsidR="00D82D6F" w:rsidRPr="00D82D6F" w:rsidRDefault="00E6471E" w:rsidP="005D4FAD">
      <w:pPr>
        <w:spacing w:line="240" w:lineRule="exact"/>
        <w:rPr>
          <w:rFonts w:eastAsia="맑은 고딕"/>
          <w:u w:val="single"/>
          <w:lang w:val="en-GB" w:eastAsia="ko-KR"/>
        </w:rPr>
      </w:pPr>
      <w:r>
        <w:rPr>
          <w:u w:val="single"/>
          <w:lang w:val="en-GB"/>
        </w:rPr>
        <w:t>Population-weight exposure</w:t>
      </w:r>
      <w:r>
        <w:rPr>
          <w:rFonts w:eastAsia="맑은 고딕" w:hint="eastAsia"/>
          <w:u w:val="single"/>
          <w:lang w:val="en-GB" w:eastAsia="ko-KR"/>
        </w:rPr>
        <w:t xml:space="preserve"> </w:t>
      </w:r>
      <w:r>
        <w:rPr>
          <w:u w:val="single"/>
          <w:lang w:val="en-GB"/>
        </w:rPr>
        <w:t>of Seoul</w:t>
      </w:r>
    </w:p>
    <w:p w:rsidR="006B0CD0" w:rsidRDefault="005D4FAD" w:rsidP="005D4FAD">
      <w:pPr>
        <w:ind w:firstLine="195"/>
      </w:pPr>
      <w:r>
        <w:rPr>
          <w:rFonts w:ascii="Arial" w:hAnsi="Arial" w:cs="Arial"/>
          <w:noProof/>
          <w:color w:val="000000"/>
          <w:sz w:val="22"/>
          <w:szCs w:val="22"/>
        </w:rPr>
        <w:drawing>
          <wp:inline distT="0" distB="0" distL="0" distR="0">
            <wp:extent cx="1866265" cy="1672606"/>
            <wp:effectExtent l="0" t="0" r="635" b="381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04"/>
                    <a:stretch/>
                  </pic:blipFill>
                  <pic:spPr bwMode="auto">
                    <a:xfrm>
                      <a:off x="0" y="0"/>
                      <a:ext cx="1911319" cy="171298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000000"/>
          <w:sz w:val="22"/>
          <w:szCs w:val="22"/>
        </w:rPr>
        <w:drawing>
          <wp:inline distT="0" distB="0" distL="0" distR="0">
            <wp:extent cx="1845425" cy="1654950"/>
            <wp:effectExtent l="0" t="0" r="2540" b="254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1588" cy="1696349"/>
                    </a:xfrm>
                    <a:prstGeom prst="rect">
                      <a:avLst/>
                    </a:prstGeom>
                    <a:noFill/>
                    <a:ln>
                      <a:noFill/>
                    </a:ln>
                  </pic:spPr>
                </pic:pic>
              </a:graphicData>
            </a:graphic>
          </wp:inline>
        </w:drawing>
      </w:r>
      <w:r w:rsidR="00A221BB">
        <w:rPr>
          <w:rFonts w:ascii="Arial" w:hAnsi="Arial" w:cs="Arial"/>
          <w:noProof/>
          <w:color w:val="000000"/>
          <w:sz w:val="22"/>
          <w:szCs w:val="22"/>
        </w:rPr>
        <w:drawing>
          <wp:inline distT="0" distB="0" distL="0" distR="0">
            <wp:extent cx="1865289" cy="1656773"/>
            <wp:effectExtent l="0" t="0" r="1905" b="63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2039" cy="1707179"/>
                    </a:xfrm>
                    <a:prstGeom prst="rect">
                      <a:avLst/>
                    </a:prstGeom>
                    <a:noFill/>
                    <a:ln>
                      <a:noFill/>
                    </a:ln>
                  </pic:spPr>
                </pic:pic>
              </a:graphicData>
            </a:graphic>
          </wp:inline>
        </w:drawing>
      </w:r>
    </w:p>
    <w:p w:rsidR="00DA2C2B" w:rsidRDefault="00DA2C2B" w:rsidP="00A221BB">
      <w:pPr>
        <w:widowControl/>
        <w:jc w:val="center"/>
        <w:textAlignment w:val="baseline"/>
        <w:rPr>
          <w:rFonts w:eastAsiaTheme="minorEastAsia"/>
          <w:noProof/>
          <w:lang w:eastAsia="ko-KR"/>
        </w:rPr>
      </w:pPr>
      <w:r w:rsidRPr="00DA2C2B">
        <w:rPr>
          <w:rFonts w:eastAsiaTheme="minorEastAsia"/>
          <w:noProof/>
          <w:lang w:eastAsia="ko-KR"/>
        </w:rPr>
        <w:t>Figure 2. Population-weight exposure of 9,123 neighbourhoods in Seoul.</w:t>
      </w:r>
    </w:p>
    <w:p w:rsidR="00DA2C2B" w:rsidRPr="006B0CD0" w:rsidRDefault="00DA2C2B" w:rsidP="005D4FAD">
      <w:pPr>
        <w:widowControl/>
        <w:textAlignment w:val="baseline"/>
        <w:rPr>
          <w:lang w:val="en-GB"/>
        </w:rPr>
      </w:pPr>
    </w:p>
    <w:p w:rsidR="00DA2C2B" w:rsidRDefault="00446BED" w:rsidP="005D4FAD">
      <w:pPr>
        <w:widowControl/>
        <w:textAlignment w:val="baseline"/>
        <w:rPr>
          <w:rFonts w:eastAsiaTheme="minorEastAsia"/>
          <w:noProof/>
          <w:lang w:eastAsia="ko-KR"/>
        </w:rPr>
      </w:pPr>
      <w:r w:rsidRPr="00446BED">
        <w:rPr>
          <w:rFonts w:eastAsiaTheme="minorEastAsia"/>
          <w:noProof/>
          <w:lang w:eastAsia="ko-KR"/>
        </w:rPr>
        <w:t>In figure 2(a), The highest population-weight exposed neighborhoods were Yeouido-dong, Yeoksam1-dong, and Seogyo-dong, labeled 1, 2, and 3. For working age people, Yeouido-dong and Yeoksam1-dong (labeled 1 and 2) showed the highest mean population-weighted exposure. On the other hand, for the elderly group, Yeouido-dong and Jingwan-dong (labeled 1 and 6) showed the highest mean population-weighted exposure. Working age (15 - 64) people were usually exposed to polluted air in business areas such as Yeouido-dong, and Yeoksam1-dong. However, elderly people (over 65) were less concentrated in the business area, but they were also exposed to polluted air in the residential areas. All things considered, Yeouido-dong was the most population-weight exposed neighbourhood in Seoul for both age groups (Working age/Elderly).</w:t>
      </w:r>
    </w:p>
    <w:p w:rsidR="00972A0F" w:rsidRPr="003B4C24" w:rsidRDefault="00972A0F" w:rsidP="005D4FAD">
      <w:pPr>
        <w:widowControl/>
        <w:textAlignment w:val="baseline"/>
        <w:rPr>
          <w:rFonts w:eastAsiaTheme="minorEastAsia"/>
          <w:noProof/>
          <w:lang w:eastAsia="ko-KR"/>
        </w:rPr>
      </w:pPr>
    </w:p>
    <w:p w:rsidR="00972A0F" w:rsidRDefault="00DA2C2B" w:rsidP="005D4FAD">
      <w:pPr>
        <w:spacing w:line="240" w:lineRule="exact"/>
        <w:rPr>
          <w:u w:val="single"/>
          <w:lang w:val="en-GB"/>
        </w:rPr>
      </w:pPr>
      <w:r w:rsidRPr="00DA2C2B">
        <w:rPr>
          <w:u w:val="single"/>
          <w:lang w:val="en-GB"/>
        </w:rPr>
        <w:t>Response pattern on air quality for working age group and elderly</w:t>
      </w:r>
    </w:p>
    <w:p w:rsidR="00972A0F" w:rsidRPr="00972A0F" w:rsidRDefault="00972A0F" w:rsidP="00972A0F">
      <w:pPr>
        <w:spacing w:line="240" w:lineRule="exact"/>
        <w:ind w:firstLineChars="150" w:firstLine="300"/>
        <w:rPr>
          <w:lang w:val="en-GB"/>
        </w:rPr>
      </w:pPr>
      <w:r w:rsidRPr="00446BED">
        <w:rPr>
          <w:rFonts w:eastAsiaTheme="minorEastAsia"/>
          <w:noProof/>
          <w:lang w:eastAsia="ko-KR"/>
        </w:rPr>
        <w:t xml:space="preserve">Figure 3 shows the impact of AQI on floating population of different age groups in Yeouido, Seoul. Each point represents an hourly measurement of AQI and floating population. As can be seen from Fig. 3 (a) and (b), there are differences between working age group and eldely, and weekday and weekend. The slope of the trendlines for both working-age and elderly groups is slightly negative on weekdays, showing that fewer people visited the area during more polluted hours, but not by much. This may be because many people spend time there for work, and are not </w:t>
      </w:r>
      <w:r w:rsidRPr="00446BED">
        <w:rPr>
          <w:lang w:val="en-GB"/>
        </w:rPr>
        <w:t xml:space="preserve">able to change their work patterns easily in response to pollution. On the weekend, overall floating populations dropped significantly for both groups, but working-age were much more likely to visit during low AQI times. By contrast, elderly populations did not respond strongly to AQI, and even showed a slight increase </w:t>
      </w:r>
      <w:r w:rsidRPr="00446BED">
        <w:rPr>
          <w:lang w:val="en-GB"/>
        </w:rPr>
        <w:lastRenderedPageBreak/>
        <w:t>at high pollution times.</w:t>
      </w:r>
    </w:p>
    <w:p w:rsidR="00EE3353" w:rsidRDefault="00972A0F" w:rsidP="00972A0F">
      <w:pPr>
        <w:spacing w:line="240" w:lineRule="exact"/>
        <w:ind w:firstLineChars="150" w:firstLine="300"/>
        <w:rPr>
          <w:lang w:val="en-GB"/>
        </w:rPr>
      </w:pPr>
      <w:r w:rsidRPr="00446BED">
        <w:rPr>
          <w:lang w:val="en-GB"/>
        </w:rPr>
        <w:t>We can see these trends in the change in slopes between the weekday and weekend graphs. The trendline slope of working age population showed significant change (-20.038 to -71.408) between the figure 3(a) and (b), while the value of slope of elderly population showed only a slight change (-6.0698 to 3.1442) between the weekday and weekend response patterns. </w:t>
      </w:r>
    </w:p>
    <w:p w:rsidR="00972A0F" w:rsidRDefault="00972A0F" w:rsidP="00972A0F">
      <w:pPr>
        <w:spacing w:line="240" w:lineRule="exact"/>
        <w:ind w:firstLineChars="150" w:firstLine="300"/>
        <w:rPr>
          <w:rFonts w:eastAsiaTheme="minorEastAsia"/>
          <w:noProof/>
          <w:lang w:eastAsia="ko-KR"/>
        </w:rPr>
      </w:pPr>
      <w:bookmarkStart w:id="1" w:name="_GoBack"/>
      <w:bookmarkEnd w:id="1"/>
      <w:r w:rsidRPr="00446BED">
        <w:rPr>
          <w:lang w:val="en-GB"/>
        </w:rPr>
        <w:t>The relative inelasticity of elderly floating population response might have several causes: less awareness of the risks of air pollution exposure, less real-time awareness of the pollutant levels in their location, preference for outdoor activities</w:t>
      </w:r>
      <w:r w:rsidRPr="00446BED">
        <w:rPr>
          <w:rFonts w:eastAsiaTheme="minorEastAsia"/>
          <w:noProof/>
          <w:lang w:eastAsia="ko-KR"/>
        </w:rPr>
        <w:t xml:space="preserve">, or dependence on jobs that lack flexibility in working hours and location. Ironically, elderly people end up relatively more exposed to air pollution, despite being physically the most susceptible to its negative health effects. </w:t>
      </w:r>
    </w:p>
    <w:p w:rsidR="00D82D6F" w:rsidRDefault="00D82D6F" w:rsidP="00972A0F">
      <w:pPr>
        <w:spacing w:line="240" w:lineRule="exact"/>
        <w:ind w:firstLineChars="150" w:firstLine="300"/>
        <w:rPr>
          <w:lang w:val="en-GB"/>
        </w:rPr>
      </w:pPr>
    </w:p>
    <w:p w:rsidR="00A221BB" w:rsidRDefault="00A221BB" w:rsidP="00972A0F">
      <w:pPr>
        <w:widowControl/>
        <w:jc w:val="center"/>
        <w:rPr>
          <w:noProof/>
        </w:rPr>
      </w:pPr>
      <w:r>
        <w:rPr>
          <w:rFonts w:ascii="Arial" w:hAnsi="Arial" w:cs="Arial"/>
          <w:noProof/>
          <w:color w:val="000000"/>
          <w:sz w:val="22"/>
          <w:szCs w:val="22"/>
        </w:rPr>
        <w:drawing>
          <wp:inline distT="0" distB="0" distL="0" distR="0" wp14:anchorId="1EEA4C57" wp14:editId="1D7F79E7">
            <wp:extent cx="2557849" cy="1487001"/>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206" b="2940"/>
                    <a:stretch/>
                  </pic:blipFill>
                  <pic:spPr bwMode="auto">
                    <a:xfrm>
                      <a:off x="0" y="0"/>
                      <a:ext cx="2557849" cy="148700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color w:val="000000"/>
          <w:sz w:val="22"/>
          <w:szCs w:val="22"/>
        </w:rPr>
        <w:drawing>
          <wp:inline distT="0" distB="0" distL="0" distR="0">
            <wp:extent cx="2622124" cy="1495030"/>
            <wp:effectExtent l="0" t="0" r="698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046" b="4061"/>
                    <a:stretch/>
                  </pic:blipFill>
                  <pic:spPr bwMode="auto">
                    <a:xfrm>
                      <a:off x="0" y="0"/>
                      <a:ext cx="2666634" cy="1520408"/>
                    </a:xfrm>
                    <a:prstGeom prst="rect">
                      <a:avLst/>
                    </a:prstGeom>
                    <a:noFill/>
                    <a:ln>
                      <a:noFill/>
                    </a:ln>
                    <a:extLst>
                      <a:ext uri="{53640926-AAD7-44D8-BBD7-CCE9431645EC}">
                        <a14:shadowObscured xmlns:a14="http://schemas.microsoft.com/office/drawing/2010/main"/>
                      </a:ext>
                    </a:extLst>
                  </pic:spPr>
                </pic:pic>
              </a:graphicData>
            </a:graphic>
          </wp:inline>
        </w:drawing>
      </w:r>
    </w:p>
    <w:p w:rsidR="00446BED" w:rsidRDefault="00446BED" w:rsidP="00A221BB">
      <w:pPr>
        <w:widowControl/>
        <w:rPr>
          <w:rFonts w:eastAsiaTheme="minorEastAsia"/>
          <w:noProof/>
        </w:rPr>
      </w:pPr>
      <w:r w:rsidRPr="00446BED">
        <w:rPr>
          <w:rFonts w:eastAsiaTheme="minorEastAsia"/>
          <w:noProof/>
          <w:lang w:eastAsia="ko-KR"/>
        </w:rPr>
        <w:t xml:space="preserve">Figure 3. Population response pattern on air </w:t>
      </w:r>
      <w:r w:rsidRPr="00446BED">
        <w:rPr>
          <w:rFonts w:eastAsiaTheme="minorEastAsia"/>
          <w:noProof/>
        </w:rPr>
        <w:t>pollution of different age groups during weekday and weekend </w:t>
      </w:r>
    </w:p>
    <w:p w:rsidR="006A72AC" w:rsidRPr="00446BED" w:rsidRDefault="006A72AC" w:rsidP="006A72AC">
      <w:pPr>
        <w:spacing w:line="240" w:lineRule="exact"/>
      </w:pPr>
    </w:p>
    <w:p w:rsidR="007C3202" w:rsidRPr="00A221BB" w:rsidRDefault="006A72AC" w:rsidP="007C3202">
      <w:pPr>
        <w:spacing w:line="240" w:lineRule="exact"/>
        <w:rPr>
          <w:lang w:val="en-GB"/>
        </w:rPr>
      </w:pPr>
      <w:r>
        <w:rPr>
          <w:lang w:val="en-GB"/>
        </w:rPr>
        <w:t>CONCLUSION</w:t>
      </w:r>
    </w:p>
    <w:p w:rsidR="00A221BB" w:rsidRDefault="00A221BB" w:rsidP="00A221BB">
      <w:pPr>
        <w:spacing w:line="240" w:lineRule="exact"/>
        <w:ind w:firstLineChars="100" w:firstLine="200"/>
        <w:rPr>
          <w:rFonts w:eastAsiaTheme="minorEastAsia"/>
          <w:noProof/>
          <w:lang w:eastAsia="ko-KR"/>
        </w:rPr>
      </w:pPr>
    </w:p>
    <w:p w:rsidR="00D82D6F" w:rsidRDefault="00446BED" w:rsidP="00D82D6F">
      <w:pPr>
        <w:spacing w:line="240" w:lineRule="exact"/>
        <w:ind w:firstLineChars="100" w:firstLine="200"/>
        <w:rPr>
          <w:rFonts w:eastAsiaTheme="minorEastAsia"/>
          <w:noProof/>
          <w:lang w:eastAsia="ko-KR"/>
        </w:rPr>
      </w:pPr>
      <w:r w:rsidRPr="00446BED">
        <w:rPr>
          <w:rFonts w:eastAsiaTheme="minorEastAsia"/>
          <w:noProof/>
          <w:lang w:eastAsia="ko-KR"/>
        </w:rPr>
        <w:t>In this research, we visualized Seoul’s population-weight exposure and found Yeouido-dong neighbourhood was the highest exposure place for both working age and elderly visitors to the area. Then, we analyzed the hourly population response pattern of working and elderly people when they were highly exposed to air pollution in Yeouido in 2018. As air pollution has become a serious issue in Korea, working age visitors were more likely to avoid the area during the most polluted times. On the other hand, floating populations of the elderly were less affected by air pollution, even though air pollution causes more serious health problems to the elderly. As the floating population does not distinguish whether people are inside of a building or outside, further research has to change the scale of floating population to smaller scale, to distinguish whether people stay in buildings or not. Furthermore, statistical tests need to be conducted to verify AQI and human response among different age groups.</w:t>
      </w:r>
    </w:p>
    <w:p w:rsidR="009A2423" w:rsidRPr="00D82D6F" w:rsidRDefault="009A2423" w:rsidP="009A2423">
      <w:pPr>
        <w:spacing w:line="240" w:lineRule="exact"/>
        <w:rPr>
          <w:rFonts w:ascii="Arial" w:hAnsi="Arial" w:cs="Arial"/>
          <w:color w:val="000000"/>
        </w:rPr>
      </w:pPr>
    </w:p>
    <w:p w:rsidR="00DA2C2B" w:rsidRPr="00DA2C2B" w:rsidRDefault="00DA2C2B" w:rsidP="007C3202">
      <w:pPr>
        <w:spacing w:line="240" w:lineRule="exact"/>
        <w:rPr>
          <w:lang w:val="en-GB"/>
        </w:rPr>
      </w:pPr>
      <w:r w:rsidRPr="00DA2C2B">
        <w:rPr>
          <w:b/>
          <w:bCs/>
          <w:lang w:val="en-GB"/>
        </w:rPr>
        <w:t>Acknowledgements</w:t>
      </w:r>
      <w:r w:rsidR="00D82D6F">
        <w:rPr>
          <w:lang w:val="en-GB"/>
        </w:rPr>
        <w:t xml:space="preserve"> </w:t>
      </w:r>
      <w:r w:rsidRPr="00DA2C2B">
        <w:rPr>
          <w:lang w:val="en-GB"/>
        </w:rPr>
        <w:t>This work is financially supported by Korea Ministry of Land, Infrastructure and</w:t>
      </w:r>
      <w:r>
        <w:rPr>
          <w:lang w:val="en-GB"/>
        </w:rPr>
        <w:t xml:space="preserve"> </w:t>
      </w:r>
      <w:r w:rsidRPr="00DA2C2B">
        <w:rPr>
          <w:lang w:val="en-GB"/>
        </w:rPr>
        <w:t>Transport(MOLIT) as</w:t>
      </w:r>
      <w:r>
        <w:rPr>
          <w:lang w:val="en-GB"/>
        </w:rPr>
        <w:t xml:space="preserve"> </w:t>
      </w:r>
      <w:r>
        <w:rPr>
          <w:rFonts w:ascii="MS Mincho" w:hAnsi="MS Mincho" w:hint="eastAsia"/>
          <w:lang w:val="en-GB"/>
        </w:rPr>
        <w:t>『</w:t>
      </w:r>
      <w:r w:rsidRPr="00DA2C2B">
        <w:rPr>
          <w:lang w:val="en-GB"/>
        </w:rPr>
        <w:t>Innovative Talent Education Program for Smart City</w:t>
      </w:r>
      <w:r>
        <w:rPr>
          <w:rFonts w:ascii="MS Mincho" w:hAnsi="MS Mincho" w:hint="eastAsia"/>
          <w:lang w:val="en-GB"/>
        </w:rPr>
        <w:t>』</w:t>
      </w:r>
    </w:p>
    <w:p w:rsidR="00DA2C2B" w:rsidRPr="00DA2C2B" w:rsidRDefault="00DA2C2B" w:rsidP="00FD01F4">
      <w:pPr>
        <w:spacing w:line="240" w:lineRule="exact"/>
        <w:rPr>
          <w:rFonts w:eastAsiaTheme="minorEastAsia"/>
          <w:lang w:eastAsia="ko-KR"/>
        </w:rPr>
      </w:pPr>
    </w:p>
    <w:p w:rsidR="00EC38D0" w:rsidRDefault="006B0CD0" w:rsidP="00A221BB">
      <w:pPr>
        <w:spacing w:line="240" w:lineRule="exact"/>
        <w:rPr>
          <w:lang w:val="en-GB"/>
        </w:rPr>
      </w:pPr>
      <w:r w:rsidRPr="004A5EA0">
        <w:rPr>
          <w:lang w:val="en-GB"/>
        </w:rPr>
        <w:t>REFERENCES</w:t>
      </w:r>
    </w:p>
    <w:p w:rsidR="00D82D6F" w:rsidRPr="00A221BB" w:rsidRDefault="00D82D6F" w:rsidP="00A221BB">
      <w:pPr>
        <w:spacing w:line="240" w:lineRule="exact"/>
        <w:rPr>
          <w:lang w:val="en-GB"/>
        </w:rPr>
      </w:pPr>
    </w:p>
    <w:p w:rsidR="00A221BB" w:rsidRPr="00D82D6F" w:rsidRDefault="00446BED" w:rsidP="00D82D6F">
      <w:pPr>
        <w:spacing w:line="240" w:lineRule="exact"/>
        <w:ind w:left="300" w:hanging="300"/>
        <w:rPr>
          <w:lang w:val="en-GB"/>
        </w:rPr>
      </w:pPr>
      <w:r w:rsidRPr="00D82D6F">
        <w:rPr>
          <w:lang w:val="en-GB"/>
        </w:rPr>
        <w:t>Marguerite Nyhan, Sebastian Grauwin, Rex Britter, Bruce Misstear, Aonghus McMabola, Francine Laden, Steven R. H. Barrett, and Carlo Ratti (2016), ““Exposure Track”-The impact of Mobile-Device-Based Mobility Pattern on Quantifying Population Exposure to Air Pollution”, Journal of Environmental Science &amp; Technology, 50, 9671-9681.</w:t>
      </w:r>
    </w:p>
    <w:p w:rsidR="00A221BB" w:rsidRPr="00D82D6F" w:rsidRDefault="00446BED" w:rsidP="00D82D6F">
      <w:pPr>
        <w:spacing w:line="240" w:lineRule="exact"/>
        <w:ind w:left="300" w:hanging="300"/>
        <w:rPr>
          <w:lang w:val="en-GB"/>
        </w:rPr>
      </w:pPr>
      <w:r w:rsidRPr="00D82D6F">
        <w:rPr>
          <w:lang w:val="en-GB"/>
        </w:rPr>
        <w:t>Hyeran Choi and Jun-Pyo Myong (2018), “Association between air pollution in the 2015 winter in South Korea and population size, car emissions, industrial activity, and fossil-fuel power plants: an ecological study”, Annals of Occupational and Environ Medicine, Vol.30, 30-60.</w:t>
      </w:r>
    </w:p>
    <w:p w:rsidR="00A221BB" w:rsidRPr="00D82D6F" w:rsidRDefault="00446BED" w:rsidP="00D82D6F">
      <w:pPr>
        <w:spacing w:line="240" w:lineRule="exact"/>
        <w:ind w:left="300" w:hanging="300"/>
        <w:rPr>
          <w:lang w:val="en-GB"/>
        </w:rPr>
      </w:pPr>
      <w:r w:rsidRPr="00D82D6F">
        <w:rPr>
          <w:lang w:val="en-GB"/>
        </w:rPr>
        <w:t>U.S. Environmental Protection Agency (2018), “Technical Assistance Document for the Reporting of Daily Air Quality - the Air Quality Index (AQI)”, 454, B-18-007</w:t>
      </w:r>
    </w:p>
    <w:p w:rsidR="00972A0F" w:rsidRPr="00D82D6F" w:rsidRDefault="00446BED" w:rsidP="00D82D6F">
      <w:pPr>
        <w:spacing w:line="240" w:lineRule="exact"/>
        <w:ind w:left="300" w:hanging="300"/>
        <w:rPr>
          <w:lang w:val="en-GB"/>
        </w:rPr>
      </w:pPr>
      <w:r w:rsidRPr="00D82D6F">
        <w:rPr>
          <w:lang w:val="en-GB"/>
        </w:rPr>
        <w:t>World Health Organization (2013), “Health effects of particulate matter”, ISBN 978 92 890 0001 7.</w:t>
      </w:r>
    </w:p>
    <w:p w:rsidR="00A221BB" w:rsidRPr="00D82D6F" w:rsidRDefault="00446BED" w:rsidP="00D82D6F">
      <w:pPr>
        <w:spacing w:line="240" w:lineRule="exact"/>
        <w:ind w:left="300" w:hanging="300"/>
        <w:rPr>
          <w:lang w:val="en-GB"/>
        </w:rPr>
      </w:pPr>
      <w:r w:rsidRPr="00D82D6F">
        <w:rPr>
          <w:lang w:val="en-GB"/>
        </w:rPr>
        <w:t>U.S. Environmental Protection Agency (2018), “Criteria Air Pollutant”, American’s Children and the Environment, third-edition.</w:t>
      </w:r>
      <w:r w:rsidR="00A221BB" w:rsidRPr="00D82D6F">
        <w:rPr>
          <w:lang w:val="en-GB"/>
        </w:rPr>
        <w:t xml:space="preserve"> </w:t>
      </w:r>
    </w:p>
    <w:p w:rsidR="00446BED" w:rsidRPr="00D82D6F" w:rsidRDefault="00446BED" w:rsidP="00D82D6F">
      <w:pPr>
        <w:spacing w:line="240" w:lineRule="exact"/>
        <w:ind w:left="300" w:hanging="300"/>
        <w:rPr>
          <w:lang w:val="en-GB"/>
        </w:rPr>
      </w:pPr>
      <w:r w:rsidRPr="00D82D6F">
        <w:rPr>
          <w:lang w:val="en-GB"/>
        </w:rPr>
        <w:t> Government Metropolitan Seoul (2013), “Seoul Living Population”, Seoul Open Data Plaza,</w:t>
      </w:r>
      <w:hyperlink r:id="rId17" w:history="1">
        <w:r w:rsidRPr="00D82D6F">
          <w:rPr>
            <w:lang w:val="en-GB"/>
          </w:rPr>
          <w:t xml:space="preserve"> https://data.seoul.go.kr/dataVisual/seoul/seoulLivingPopulation.do</w:t>
        </w:r>
      </w:hyperlink>
    </w:p>
    <w:sectPr w:rsidR="00446BED" w:rsidRPr="00D82D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1CC" w:rsidRDefault="008271CC" w:rsidP="00AD2702">
      <w:r>
        <w:separator/>
      </w:r>
    </w:p>
  </w:endnote>
  <w:endnote w:type="continuationSeparator" w:id="0">
    <w:p w:rsidR="008271CC" w:rsidRDefault="008271CC" w:rsidP="00AD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incho">
    <w:altName w:val="MS Mincho"/>
    <w:panose1 w:val="02020609040305080305"/>
    <w:charset w:val="80"/>
    <w:family w:val="roman"/>
    <w:pitch w:val="fixed"/>
    <w:sig w:usb0="00000001"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1CC" w:rsidRDefault="008271CC" w:rsidP="00AD2702">
      <w:r>
        <w:separator/>
      </w:r>
    </w:p>
  </w:footnote>
  <w:footnote w:type="continuationSeparator" w:id="0">
    <w:p w:rsidR="008271CC" w:rsidRDefault="008271CC" w:rsidP="00AD2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45BA"/>
    <w:multiLevelType w:val="multilevel"/>
    <w:tmpl w:val="5FB4D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73D15"/>
    <w:multiLevelType w:val="multilevel"/>
    <w:tmpl w:val="2652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909D7"/>
    <w:multiLevelType w:val="multilevel"/>
    <w:tmpl w:val="73305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75DCE"/>
    <w:multiLevelType w:val="multilevel"/>
    <w:tmpl w:val="BE6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D0"/>
    <w:rsid w:val="0004166D"/>
    <w:rsid w:val="00050451"/>
    <w:rsid w:val="000539C5"/>
    <w:rsid w:val="00071703"/>
    <w:rsid w:val="00075C71"/>
    <w:rsid w:val="00087363"/>
    <w:rsid w:val="00087853"/>
    <w:rsid w:val="000A3916"/>
    <w:rsid w:val="000A5387"/>
    <w:rsid w:val="000E2E59"/>
    <w:rsid w:val="001002C3"/>
    <w:rsid w:val="001078DC"/>
    <w:rsid w:val="0014409C"/>
    <w:rsid w:val="001937DB"/>
    <w:rsid w:val="001A052D"/>
    <w:rsid w:val="001B6667"/>
    <w:rsid w:val="001B6DFF"/>
    <w:rsid w:val="001C1A54"/>
    <w:rsid w:val="001F4384"/>
    <w:rsid w:val="00294204"/>
    <w:rsid w:val="002E47EC"/>
    <w:rsid w:val="00310396"/>
    <w:rsid w:val="00320538"/>
    <w:rsid w:val="00363F10"/>
    <w:rsid w:val="003B4C24"/>
    <w:rsid w:val="003D1A1D"/>
    <w:rsid w:val="003D489D"/>
    <w:rsid w:val="003E1A03"/>
    <w:rsid w:val="004010AE"/>
    <w:rsid w:val="00410ADC"/>
    <w:rsid w:val="004132D3"/>
    <w:rsid w:val="00446BED"/>
    <w:rsid w:val="004511C7"/>
    <w:rsid w:val="00466E07"/>
    <w:rsid w:val="004C1DA5"/>
    <w:rsid w:val="004D6F30"/>
    <w:rsid w:val="004E05B1"/>
    <w:rsid w:val="004E4FE5"/>
    <w:rsid w:val="004E7088"/>
    <w:rsid w:val="004F6974"/>
    <w:rsid w:val="00531603"/>
    <w:rsid w:val="005A03D6"/>
    <w:rsid w:val="005A3030"/>
    <w:rsid w:val="005D4FAD"/>
    <w:rsid w:val="005E5DC5"/>
    <w:rsid w:val="005F637C"/>
    <w:rsid w:val="00600F5C"/>
    <w:rsid w:val="00612787"/>
    <w:rsid w:val="00616C0C"/>
    <w:rsid w:val="00631A35"/>
    <w:rsid w:val="00665505"/>
    <w:rsid w:val="00670450"/>
    <w:rsid w:val="00694444"/>
    <w:rsid w:val="00696BE6"/>
    <w:rsid w:val="00696F56"/>
    <w:rsid w:val="006A0E90"/>
    <w:rsid w:val="006A154A"/>
    <w:rsid w:val="006A72AC"/>
    <w:rsid w:val="006B0CD0"/>
    <w:rsid w:val="006C6228"/>
    <w:rsid w:val="006D0FAD"/>
    <w:rsid w:val="006D7F5E"/>
    <w:rsid w:val="006F5394"/>
    <w:rsid w:val="007463DE"/>
    <w:rsid w:val="0075100F"/>
    <w:rsid w:val="00753619"/>
    <w:rsid w:val="00777314"/>
    <w:rsid w:val="00785038"/>
    <w:rsid w:val="007C1C5D"/>
    <w:rsid w:val="007C3202"/>
    <w:rsid w:val="007C3C8B"/>
    <w:rsid w:val="007C52FB"/>
    <w:rsid w:val="00815C54"/>
    <w:rsid w:val="008271CC"/>
    <w:rsid w:val="00837E4F"/>
    <w:rsid w:val="008424CF"/>
    <w:rsid w:val="00865474"/>
    <w:rsid w:val="00873C98"/>
    <w:rsid w:val="008910DE"/>
    <w:rsid w:val="008B50C2"/>
    <w:rsid w:val="008D185F"/>
    <w:rsid w:val="008D3A29"/>
    <w:rsid w:val="009102D5"/>
    <w:rsid w:val="00933673"/>
    <w:rsid w:val="00944257"/>
    <w:rsid w:val="00944F74"/>
    <w:rsid w:val="00957740"/>
    <w:rsid w:val="00972A0F"/>
    <w:rsid w:val="009736CE"/>
    <w:rsid w:val="00995305"/>
    <w:rsid w:val="009A07F7"/>
    <w:rsid w:val="009A2423"/>
    <w:rsid w:val="009B55EE"/>
    <w:rsid w:val="009F4AB2"/>
    <w:rsid w:val="00A221BB"/>
    <w:rsid w:val="00A25BE5"/>
    <w:rsid w:val="00A318D6"/>
    <w:rsid w:val="00A5018B"/>
    <w:rsid w:val="00A531DA"/>
    <w:rsid w:val="00A77629"/>
    <w:rsid w:val="00AB141F"/>
    <w:rsid w:val="00AC02C8"/>
    <w:rsid w:val="00AC41DA"/>
    <w:rsid w:val="00AD2702"/>
    <w:rsid w:val="00AE5D59"/>
    <w:rsid w:val="00AE7855"/>
    <w:rsid w:val="00B21C3C"/>
    <w:rsid w:val="00B80776"/>
    <w:rsid w:val="00B84FA6"/>
    <w:rsid w:val="00BC5110"/>
    <w:rsid w:val="00BD5222"/>
    <w:rsid w:val="00BF3F51"/>
    <w:rsid w:val="00BF4C21"/>
    <w:rsid w:val="00C009B7"/>
    <w:rsid w:val="00C02F63"/>
    <w:rsid w:val="00C52A54"/>
    <w:rsid w:val="00C55A38"/>
    <w:rsid w:val="00C95A49"/>
    <w:rsid w:val="00CD50E2"/>
    <w:rsid w:val="00D13750"/>
    <w:rsid w:val="00D3054A"/>
    <w:rsid w:val="00D6776A"/>
    <w:rsid w:val="00D70EF7"/>
    <w:rsid w:val="00D82D6F"/>
    <w:rsid w:val="00D927C9"/>
    <w:rsid w:val="00DA2C2B"/>
    <w:rsid w:val="00DC3B35"/>
    <w:rsid w:val="00DD13D8"/>
    <w:rsid w:val="00DE0382"/>
    <w:rsid w:val="00DE15AB"/>
    <w:rsid w:val="00E21A41"/>
    <w:rsid w:val="00E31274"/>
    <w:rsid w:val="00E503A0"/>
    <w:rsid w:val="00E62D71"/>
    <w:rsid w:val="00E6471E"/>
    <w:rsid w:val="00EB54C6"/>
    <w:rsid w:val="00EC1130"/>
    <w:rsid w:val="00EC38D0"/>
    <w:rsid w:val="00EE3353"/>
    <w:rsid w:val="00F107ED"/>
    <w:rsid w:val="00F624C8"/>
    <w:rsid w:val="00F73A42"/>
    <w:rsid w:val="00F90F9B"/>
    <w:rsid w:val="00FA4DDC"/>
    <w:rsid w:val="00FB0B2A"/>
    <w:rsid w:val="00FB6E4D"/>
    <w:rsid w:val="00FB7A78"/>
    <w:rsid w:val="00FD01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50434"/>
  <w15:chartTrackingRefBased/>
  <w15:docId w15:val="{A136BD71-83FE-484F-AB1D-585FFFBE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B0CD0"/>
    <w:pPr>
      <w:widowControl w:val="0"/>
      <w:spacing w:after="0" w:line="240" w:lineRule="auto"/>
    </w:pPr>
    <w:rPr>
      <w:rFonts w:ascii="Times New Roman" w:eastAsia="MS Mincho" w:hAnsi="Times New Roman" w:cs="Times New Roman"/>
      <w:szCs w:val="20"/>
      <w:lang w:eastAsia="ja-JP"/>
    </w:rPr>
  </w:style>
  <w:style w:type="paragraph" w:styleId="1">
    <w:name w:val="heading 1"/>
    <w:basedOn w:val="a"/>
    <w:link w:val="1Char"/>
    <w:uiPriority w:val="9"/>
    <w:qFormat/>
    <w:rsid w:val="007C52FB"/>
    <w:pPr>
      <w:widowControl/>
      <w:spacing w:before="100" w:beforeAutospacing="1" w:after="100" w:afterAutospacing="1"/>
      <w:jc w:val="left"/>
      <w:outlineLvl w:val="0"/>
    </w:pPr>
    <w:rPr>
      <w:rFonts w:ascii="굴림" w:eastAsia="굴림" w:hAnsi="굴림" w:cs="굴림"/>
      <w:b/>
      <w:bCs/>
      <w:kern w:val="36"/>
      <w:sz w:val="48"/>
      <w:szCs w:val="48"/>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B0CD0"/>
    <w:pPr>
      <w:wordWrap w:val="0"/>
      <w:spacing w:line="280" w:lineRule="exact"/>
      <w:jc w:val="center"/>
    </w:pPr>
    <w:rPr>
      <w:rFonts w:eastAsia="Mincho"/>
      <w:b/>
      <w:sz w:val="28"/>
      <w:lang w:eastAsia="ko-KR"/>
    </w:rPr>
  </w:style>
  <w:style w:type="character" w:customStyle="1" w:styleId="Char">
    <w:name w:val="본문 Char"/>
    <w:basedOn w:val="a0"/>
    <w:link w:val="a3"/>
    <w:rsid w:val="006B0CD0"/>
    <w:rPr>
      <w:rFonts w:ascii="Times New Roman" w:eastAsia="Mincho" w:hAnsi="Times New Roman" w:cs="Times New Roman"/>
      <w:b/>
      <w:sz w:val="28"/>
      <w:szCs w:val="20"/>
    </w:rPr>
  </w:style>
  <w:style w:type="paragraph" w:styleId="a4">
    <w:name w:val="Normal (Web)"/>
    <w:basedOn w:val="a"/>
    <w:uiPriority w:val="99"/>
    <w:unhideWhenUsed/>
    <w:rsid w:val="006B0CD0"/>
    <w:pPr>
      <w:widowControl/>
      <w:spacing w:before="100" w:beforeAutospacing="1" w:after="100" w:afterAutospacing="1"/>
      <w:jc w:val="left"/>
    </w:pPr>
    <w:rPr>
      <w:rFonts w:ascii="굴림" w:eastAsia="굴림" w:hAnsi="굴림" w:cs="굴림"/>
      <w:kern w:val="0"/>
      <w:sz w:val="24"/>
      <w:szCs w:val="24"/>
      <w:lang w:eastAsia="ko-KR"/>
    </w:rPr>
  </w:style>
  <w:style w:type="table" w:styleId="a5">
    <w:name w:val="Table Grid"/>
    <w:basedOn w:val="a1"/>
    <w:uiPriority w:val="39"/>
    <w:rsid w:val="00865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0"/>
    <w:uiPriority w:val="99"/>
    <w:semiHidden/>
    <w:unhideWhenUsed/>
    <w:rsid w:val="00670450"/>
    <w:rPr>
      <w:rFonts w:asciiTheme="majorHAnsi" w:eastAsiaTheme="majorEastAsia" w:hAnsiTheme="majorHAnsi" w:cstheme="majorBidi"/>
      <w:sz w:val="18"/>
      <w:szCs w:val="18"/>
    </w:rPr>
  </w:style>
  <w:style w:type="character" w:customStyle="1" w:styleId="Char0">
    <w:name w:val="풍선 도움말 텍스트 Char"/>
    <w:basedOn w:val="a0"/>
    <w:link w:val="a6"/>
    <w:uiPriority w:val="99"/>
    <w:semiHidden/>
    <w:rsid w:val="00670450"/>
    <w:rPr>
      <w:rFonts w:asciiTheme="majorHAnsi" w:eastAsiaTheme="majorEastAsia" w:hAnsiTheme="majorHAnsi" w:cstheme="majorBidi"/>
      <w:sz w:val="18"/>
      <w:szCs w:val="18"/>
      <w:lang w:eastAsia="ja-JP"/>
    </w:rPr>
  </w:style>
  <w:style w:type="character" w:styleId="a7">
    <w:name w:val="Hyperlink"/>
    <w:basedOn w:val="a0"/>
    <w:uiPriority w:val="99"/>
    <w:unhideWhenUsed/>
    <w:rsid w:val="00EC1130"/>
    <w:rPr>
      <w:color w:val="0000FF"/>
      <w:u w:val="single"/>
    </w:rPr>
  </w:style>
  <w:style w:type="character" w:customStyle="1" w:styleId="1Char">
    <w:name w:val="제목 1 Char"/>
    <w:basedOn w:val="a0"/>
    <w:link w:val="1"/>
    <w:uiPriority w:val="9"/>
    <w:rsid w:val="007C52FB"/>
    <w:rPr>
      <w:rFonts w:ascii="굴림" w:eastAsia="굴림" w:hAnsi="굴림" w:cs="굴림"/>
      <w:b/>
      <w:bCs/>
      <w:kern w:val="36"/>
      <w:sz w:val="48"/>
      <w:szCs w:val="48"/>
    </w:rPr>
  </w:style>
  <w:style w:type="paragraph" w:styleId="a8">
    <w:name w:val="Bibliography"/>
    <w:basedOn w:val="a"/>
    <w:next w:val="a"/>
    <w:uiPriority w:val="37"/>
    <w:unhideWhenUsed/>
    <w:rsid w:val="00837E4F"/>
  </w:style>
  <w:style w:type="paragraph" w:styleId="a9">
    <w:name w:val="header"/>
    <w:basedOn w:val="a"/>
    <w:link w:val="Char1"/>
    <w:uiPriority w:val="99"/>
    <w:unhideWhenUsed/>
    <w:rsid w:val="00AD2702"/>
    <w:pPr>
      <w:tabs>
        <w:tab w:val="center" w:pos="4513"/>
        <w:tab w:val="right" w:pos="9026"/>
      </w:tabs>
      <w:snapToGrid w:val="0"/>
    </w:pPr>
  </w:style>
  <w:style w:type="character" w:customStyle="1" w:styleId="Char1">
    <w:name w:val="머리글 Char"/>
    <w:basedOn w:val="a0"/>
    <w:link w:val="a9"/>
    <w:uiPriority w:val="99"/>
    <w:rsid w:val="00AD2702"/>
    <w:rPr>
      <w:rFonts w:ascii="Times New Roman" w:eastAsia="MS Mincho" w:hAnsi="Times New Roman" w:cs="Times New Roman"/>
      <w:szCs w:val="20"/>
      <w:lang w:eastAsia="ja-JP"/>
    </w:rPr>
  </w:style>
  <w:style w:type="paragraph" w:styleId="aa">
    <w:name w:val="footer"/>
    <w:basedOn w:val="a"/>
    <w:link w:val="Char2"/>
    <w:uiPriority w:val="99"/>
    <w:unhideWhenUsed/>
    <w:rsid w:val="00AD2702"/>
    <w:pPr>
      <w:tabs>
        <w:tab w:val="center" w:pos="4513"/>
        <w:tab w:val="right" w:pos="9026"/>
      </w:tabs>
      <w:snapToGrid w:val="0"/>
    </w:pPr>
  </w:style>
  <w:style w:type="character" w:customStyle="1" w:styleId="Char2">
    <w:name w:val="바닥글 Char"/>
    <w:basedOn w:val="a0"/>
    <w:link w:val="aa"/>
    <w:uiPriority w:val="99"/>
    <w:rsid w:val="00AD2702"/>
    <w:rPr>
      <w:rFonts w:ascii="Times New Roman" w:eastAsia="MS Mincho" w:hAnsi="Times New Roman" w:cs="Times New Roman"/>
      <w:szCs w:val="20"/>
      <w:lang w:eastAsia="ja-JP"/>
    </w:rPr>
  </w:style>
  <w:style w:type="character" w:styleId="ab">
    <w:name w:val="Unresolved Mention"/>
    <w:basedOn w:val="a0"/>
    <w:uiPriority w:val="99"/>
    <w:semiHidden/>
    <w:unhideWhenUsed/>
    <w:rsid w:val="00EC38D0"/>
    <w:rPr>
      <w:color w:val="605E5C"/>
      <w:shd w:val="clear" w:color="auto" w:fill="E1DFDD"/>
    </w:rPr>
  </w:style>
  <w:style w:type="paragraph" w:styleId="ac">
    <w:name w:val="No Spacing"/>
    <w:uiPriority w:val="1"/>
    <w:qFormat/>
    <w:rsid w:val="00446BED"/>
    <w:pPr>
      <w:widowControl w:val="0"/>
      <w:spacing w:after="0" w:line="240" w:lineRule="auto"/>
    </w:pPr>
    <w:rPr>
      <w:rFonts w:ascii="Times New Roman" w:eastAsia="MS Mincho" w:hAnsi="Times New Roman" w:cs="Times New Roman"/>
      <w:szCs w:val="20"/>
      <w:lang w:eastAsia="ja-JP"/>
    </w:rPr>
  </w:style>
  <w:style w:type="paragraph" w:styleId="ad">
    <w:name w:val="caption"/>
    <w:basedOn w:val="a"/>
    <w:next w:val="a"/>
    <w:uiPriority w:val="35"/>
    <w:unhideWhenUsed/>
    <w:qFormat/>
    <w:rsid w:val="00D82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693">
      <w:bodyDiv w:val="1"/>
      <w:marLeft w:val="0"/>
      <w:marRight w:val="0"/>
      <w:marTop w:val="0"/>
      <w:marBottom w:val="0"/>
      <w:divBdr>
        <w:top w:val="none" w:sz="0" w:space="0" w:color="auto"/>
        <w:left w:val="none" w:sz="0" w:space="0" w:color="auto"/>
        <w:bottom w:val="none" w:sz="0" w:space="0" w:color="auto"/>
        <w:right w:val="none" w:sz="0" w:space="0" w:color="auto"/>
      </w:divBdr>
    </w:div>
    <w:div w:id="244847165">
      <w:bodyDiv w:val="1"/>
      <w:marLeft w:val="0"/>
      <w:marRight w:val="0"/>
      <w:marTop w:val="0"/>
      <w:marBottom w:val="0"/>
      <w:divBdr>
        <w:top w:val="none" w:sz="0" w:space="0" w:color="auto"/>
        <w:left w:val="none" w:sz="0" w:space="0" w:color="auto"/>
        <w:bottom w:val="none" w:sz="0" w:space="0" w:color="auto"/>
        <w:right w:val="none" w:sz="0" w:space="0" w:color="auto"/>
      </w:divBdr>
    </w:div>
    <w:div w:id="334459645">
      <w:bodyDiv w:val="1"/>
      <w:marLeft w:val="0"/>
      <w:marRight w:val="0"/>
      <w:marTop w:val="0"/>
      <w:marBottom w:val="0"/>
      <w:divBdr>
        <w:top w:val="none" w:sz="0" w:space="0" w:color="auto"/>
        <w:left w:val="none" w:sz="0" w:space="0" w:color="auto"/>
        <w:bottom w:val="none" w:sz="0" w:space="0" w:color="auto"/>
        <w:right w:val="none" w:sz="0" w:space="0" w:color="auto"/>
      </w:divBdr>
    </w:div>
    <w:div w:id="595670862">
      <w:bodyDiv w:val="1"/>
      <w:marLeft w:val="0"/>
      <w:marRight w:val="0"/>
      <w:marTop w:val="0"/>
      <w:marBottom w:val="0"/>
      <w:divBdr>
        <w:top w:val="none" w:sz="0" w:space="0" w:color="auto"/>
        <w:left w:val="none" w:sz="0" w:space="0" w:color="auto"/>
        <w:bottom w:val="none" w:sz="0" w:space="0" w:color="auto"/>
        <w:right w:val="none" w:sz="0" w:space="0" w:color="auto"/>
      </w:divBdr>
    </w:div>
    <w:div w:id="600337586">
      <w:bodyDiv w:val="1"/>
      <w:marLeft w:val="0"/>
      <w:marRight w:val="0"/>
      <w:marTop w:val="0"/>
      <w:marBottom w:val="0"/>
      <w:divBdr>
        <w:top w:val="none" w:sz="0" w:space="0" w:color="auto"/>
        <w:left w:val="none" w:sz="0" w:space="0" w:color="auto"/>
        <w:bottom w:val="none" w:sz="0" w:space="0" w:color="auto"/>
        <w:right w:val="none" w:sz="0" w:space="0" w:color="auto"/>
      </w:divBdr>
    </w:div>
    <w:div w:id="746000492">
      <w:bodyDiv w:val="1"/>
      <w:marLeft w:val="0"/>
      <w:marRight w:val="0"/>
      <w:marTop w:val="0"/>
      <w:marBottom w:val="0"/>
      <w:divBdr>
        <w:top w:val="none" w:sz="0" w:space="0" w:color="auto"/>
        <w:left w:val="none" w:sz="0" w:space="0" w:color="auto"/>
        <w:bottom w:val="none" w:sz="0" w:space="0" w:color="auto"/>
        <w:right w:val="none" w:sz="0" w:space="0" w:color="auto"/>
      </w:divBdr>
    </w:div>
    <w:div w:id="782656282">
      <w:bodyDiv w:val="1"/>
      <w:marLeft w:val="0"/>
      <w:marRight w:val="0"/>
      <w:marTop w:val="0"/>
      <w:marBottom w:val="0"/>
      <w:divBdr>
        <w:top w:val="none" w:sz="0" w:space="0" w:color="auto"/>
        <w:left w:val="none" w:sz="0" w:space="0" w:color="auto"/>
        <w:bottom w:val="none" w:sz="0" w:space="0" w:color="auto"/>
        <w:right w:val="none" w:sz="0" w:space="0" w:color="auto"/>
      </w:divBdr>
    </w:div>
    <w:div w:id="797072546">
      <w:bodyDiv w:val="1"/>
      <w:marLeft w:val="0"/>
      <w:marRight w:val="0"/>
      <w:marTop w:val="0"/>
      <w:marBottom w:val="0"/>
      <w:divBdr>
        <w:top w:val="none" w:sz="0" w:space="0" w:color="auto"/>
        <w:left w:val="none" w:sz="0" w:space="0" w:color="auto"/>
        <w:bottom w:val="none" w:sz="0" w:space="0" w:color="auto"/>
        <w:right w:val="none" w:sz="0" w:space="0" w:color="auto"/>
      </w:divBdr>
    </w:div>
    <w:div w:id="813370857">
      <w:bodyDiv w:val="1"/>
      <w:marLeft w:val="0"/>
      <w:marRight w:val="0"/>
      <w:marTop w:val="0"/>
      <w:marBottom w:val="0"/>
      <w:divBdr>
        <w:top w:val="none" w:sz="0" w:space="0" w:color="auto"/>
        <w:left w:val="none" w:sz="0" w:space="0" w:color="auto"/>
        <w:bottom w:val="none" w:sz="0" w:space="0" w:color="auto"/>
        <w:right w:val="none" w:sz="0" w:space="0" w:color="auto"/>
      </w:divBdr>
    </w:div>
    <w:div w:id="829951003">
      <w:bodyDiv w:val="1"/>
      <w:marLeft w:val="0"/>
      <w:marRight w:val="0"/>
      <w:marTop w:val="0"/>
      <w:marBottom w:val="0"/>
      <w:divBdr>
        <w:top w:val="none" w:sz="0" w:space="0" w:color="auto"/>
        <w:left w:val="none" w:sz="0" w:space="0" w:color="auto"/>
        <w:bottom w:val="none" w:sz="0" w:space="0" w:color="auto"/>
        <w:right w:val="none" w:sz="0" w:space="0" w:color="auto"/>
      </w:divBdr>
    </w:div>
    <w:div w:id="838734487">
      <w:bodyDiv w:val="1"/>
      <w:marLeft w:val="0"/>
      <w:marRight w:val="0"/>
      <w:marTop w:val="0"/>
      <w:marBottom w:val="0"/>
      <w:divBdr>
        <w:top w:val="none" w:sz="0" w:space="0" w:color="auto"/>
        <w:left w:val="none" w:sz="0" w:space="0" w:color="auto"/>
        <w:bottom w:val="none" w:sz="0" w:space="0" w:color="auto"/>
        <w:right w:val="none" w:sz="0" w:space="0" w:color="auto"/>
      </w:divBdr>
    </w:div>
    <w:div w:id="988048111">
      <w:bodyDiv w:val="1"/>
      <w:marLeft w:val="0"/>
      <w:marRight w:val="0"/>
      <w:marTop w:val="0"/>
      <w:marBottom w:val="0"/>
      <w:divBdr>
        <w:top w:val="none" w:sz="0" w:space="0" w:color="auto"/>
        <w:left w:val="none" w:sz="0" w:space="0" w:color="auto"/>
        <w:bottom w:val="none" w:sz="0" w:space="0" w:color="auto"/>
        <w:right w:val="none" w:sz="0" w:space="0" w:color="auto"/>
      </w:divBdr>
    </w:div>
    <w:div w:id="1047029662">
      <w:bodyDiv w:val="1"/>
      <w:marLeft w:val="0"/>
      <w:marRight w:val="0"/>
      <w:marTop w:val="0"/>
      <w:marBottom w:val="0"/>
      <w:divBdr>
        <w:top w:val="none" w:sz="0" w:space="0" w:color="auto"/>
        <w:left w:val="none" w:sz="0" w:space="0" w:color="auto"/>
        <w:bottom w:val="none" w:sz="0" w:space="0" w:color="auto"/>
        <w:right w:val="none" w:sz="0" w:space="0" w:color="auto"/>
      </w:divBdr>
    </w:div>
    <w:div w:id="1161585365">
      <w:bodyDiv w:val="1"/>
      <w:marLeft w:val="0"/>
      <w:marRight w:val="0"/>
      <w:marTop w:val="0"/>
      <w:marBottom w:val="0"/>
      <w:divBdr>
        <w:top w:val="none" w:sz="0" w:space="0" w:color="auto"/>
        <w:left w:val="none" w:sz="0" w:space="0" w:color="auto"/>
        <w:bottom w:val="none" w:sz="0" w:space="0" w:color="auto"/>
        <w:right w:val="none" w:sz="0" w:space="0" w:color="auto"/>
      </w:divBdr>
    </w:div>
    <w:div w:id="1197740215">
      <w:bodyDiv w:val="1"/>
      <w:marLeft w:val="0"/>
      <w:marRight w:val="0"/>
      <w:marTop w:val="0"/>
      <w:marBottom w:val="0"/>
      <w:divBdr>
        <w:top w:val="none" w:sz="0" w:space="0" w:color="auto"/>
        <w:left w:val="none" w:sz="0" w:space="0" w:color="auto"/>
        <w:bottom w:val="none" w:sz="0" w:space="0" w:color="auto"/>
        <w:right w:val="none" w:sz="0" w:space="0" w:color="auto"/>
      </w:divBdr>
    </w:div>
    <w:div w:id="1340306726">
      <w:bodyDiv w:val="1"/>
      <w:marLeft w:val="0"/>
      <w:marRight w:val="0"/>
      <w:marTop w:val="0"/>
      <w:marBottom w:val="0"/>
      <w:divBdr>
        <w:top w:val="none" w:sz="0" w:space="0" w:color="auto"/>
        <w:left w:val="none" w:sz="0" w:space="0" w:color="auto"/>
        <w:bottom w:val="none" w:sz="0" w:space="0" w:color="auto"/>
        <w:right w:val="none" w:sz="0" w:space="0" w:color="auto"/>
      </w:divBdr>
    </w:div>
    <w:div w:id="1388993931">
      <w:bodyDiv w:val="1"/>
      <w:marLeft w:val="0"/>
      <w:marRight w:val="0"/>
      <w:marTop w:val="0"/>
      <w:marBottom w:val="0"/>
      <w:divBdr>
        <w:top w:val="none" w:sz="0" w:space="0" w:color="auto"/>
        <w:left w:val="none" w:sz="0" w:space="0" w:color="auto"/>
        <w:bottom w:val="none" w:sz="0" w:space="0" w:color="auto"/>
        <w:right w:val="none" w:sz="0" w:space="0" w:color="auto"/>
      </w:divBdr>
    </w:div>
    <w:div w:id="1606234743">
      <w:bodyDiv w:val="1"/>
      <w:marLeft w:val="0"/>
      <w:marRight w:val="0"/>
      <w:marTop w:val="0"/>
      <w:marBottom w:val="0"/>
      <w:divBdr>
        <w:top w:val="none" w:sz="0" w:space="0" w:color="auto"/>
        <w:left w:val="none" w:sz="0" w:space="0" w:color="auto"/>
        <w:bottom w:val="none" w:sz="0" w:space="0" w:color="auto"/>
        <w:right w:val="none" w:sz="0" w:space="0" w:color="auto"/>
      </w:divBdr>
    </w:div>
    <w:div w:id="1644845291">
      <w:bodyDiv w:val="1"/>
      <w:marLeft w:val="0"/>
      <w:marRight w:val="0"/>
      <w:marTop w:val="0"/>
      <w:marBottom w:val="0"/>
      <w:divBdr>
        <w:top w:val="none" w:sz="0" w:space="0" w:color="auto"/>
        <w:left w:val="none" w:sz="0" w:space="0" w:color="auto"/>
        <w:bottom w:val="none" w:sz="0" w:space="0" w:color="auto"/>
        <w:right w:val="none" w:sz="0" w:space="0" w:color="auto"/>
      </w:divBdr>
      <w:divsChild>
        <w:div w:id="904948155">
          <w:marLeft w:val="0"/>
          <w:marRight w:val="0"/>
          <w:marTop w:val="166"/>
          <w:marBottom w:val="166"/>
          <w:divBdr>
            <w:top w:val="none" w:sz="0" w:space="0" w:color="auto"/>
            <w:left w:val="none" w:sz="0" w:space="0" w:color="auto"/>
            <w:bottom w:val="none" w:sz="0" w:space="0" w:color="auto"/>
            <w:right w:val="none" w:sz="0" w:space="0" w:color="auto"/>
          </w:divBdr>
          <w:divsChild>
            <w:div w:id="899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077">
      <w:bodyDiv w:val="1"/>
      <w:marLeft w:val="0"/>
      <w:marRight w:val="0"/>
      <w:marTop w:val="0"/>
      <w:marBottom w:val="0"/>
      <w:divBdr>
        <w:top w:val="none" w:sz="0" w:space="0" w:color="auto"/>
        <w:left w:val="none" w:sz="0" w:space="0" w:color="auto"/>
        <w:bottom w:val="none" w:sz="0" w:space="0" w:color="auto"/>
        <w:right w:val="none" w:sz="0" w:space="0" w:color="auto"/>
      </w:divBdr>
    </w:div>
    <w:div w:id="1841038043">
      <w:bodyDiv w:val="1"/>
      <w:marLeft w:val="0"/>
      <w:marRight w:val="0"/>
      <w:marTop w:val="0"/>
      <w:marBottom w:val="0"/>
      <w:divBdr>
        <w:top w:val="none" w:sz="0" w:space="0" w:color="auto"/>
        <w:left w:val="none" w:sz="0" w:space="0" w:color="auto"/>
        <w:bottom w:val="none" w:sz="0" w:space="0" w:color="auto"/>
        <w:right w:val="none" w:sz="0" w:space="0" w:color="auto"/>
      </w:divBdr>
    </w:div>
    <w:div w:id="1868979852">
      <w:bodyDiv w:val="1"/>
      <w:marLeft w:val="0"/>
      <w:marRight w:val="0"/>
      <w:marTop w:val="0"/>
      <w:marBottom w:val="0"/>
      <w:divBdr>
        <w:top w:val="none" w:sz="0" w:space="0" w:color="auto"/>
        <w:left w:val="none" w:sz="0" w:space="0" w:color="auto"/>
        <w:bottom w:val="none" w:sz="0" w:space="0" w:color="auto"/>
        <w:right w:val="none" w:sz="0" w:space="0" w:color="auto"/>
      </w:divBdr>
    </w:div>
    <w:div w:id="1940209358">
      <w:bodyDiv w:val="1"/>
      <w:marLeft w:val="0"/>
      <w:marRight w:val="0"/>
      <w:marTop w:val="0"/>
      <w:marBottom w:val="0"/>
      <w:divBdr>
        <w:top w:val="none" w:sz="0" w:space="0" w:color="auto"/>
        <w:left w:val="none" w:sz="0" w:space="0" w:color="auto"/>
        <w:bottom w:val="none" w:sz="0" w:space="0" w:color="auto"/>
        <w:right w:val="none" w:sz="0" w:space="0" w:color="auto"/>
      </w:divBdr>
    </w:div>
    <w:div w:id="2055958167">
      <w:bodyDiv w:val="1"/>
      <w:marLeft w:val="0"/>
      <w:marRight w:val="0"/>
      <w:marTop w:val="0"/>
      <w:marBottom w:val="0"/>
      <w:divBdr>
        <w:top w:val="none" w:sz="0" w:space="0" w:color="auto"/>
        <w:left w:val="none" w:sz="0" w:space="0" w:color="auto"/>
        <w:bottom w:val="none" w:sz="0" w:space="0" w:color="auto"/>
        <w:right w:val="none" w:sz="0" w:space="0" w:color="auto"/>
      </w:divBdr>
    </w:div>
    <w:div w:id="21233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jikim93@gist.ac.k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ata.seoul.go.kr/dataVisual/seoul/seoulLivingPopulation.do"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USE18</b:Tag>
    <b:SourceType>ElectronicSource</b:SourceType>
    <b:Guid>{73621553-482F-4CD1-870D-5C5158AA9E96}</b:Guid>
    <b:Author>
      <b:Author>
        <b:Corporate>U.S. Environmental Protection Agency (EPA)</b:Corporate>
      </b:Author>
    </b:Author>
    <b:Title>Technical Assistance Document for the Reporting of Daily Air Quality - the Air Quality Index (AQI)</b:Title>
    <b:Year>2018</b:Year>
    <b:City>NC</b:City>
    <b:Month>9</b:Month>
    <b:CountryRegion>U.S.</b:CountryRegion>
    <b:RefOrder>2</b:RefOrder>
  </b:Source>
  <b:Source>
    <b:Tag>Seo13</b:Tag>
    <b:SourceType>InternetSite</b:SourceType>
    <b:Guid>{79E052BB-545F-42A0-A19D-C475D6CEA4FE}</b:Guid>
    <b:Title>Seoul Living Population </b:Title>
    <b:Year>2013</b:Year>
    <b:Author>
      <b:Author>
        <b:NameList>
          <b:Person>
            <b:Last>Government</b:Last>
            <b:First>Seoul</b:First>
            <b:Middle>Metropolitan</b:Middle>
          </b:Person>
        </b:NameList>
      </b:Author>
    </b:Author>
    <b:InternetSiteTitle>SEOUL OPEN DATA PLAZA</b:InternetSiteTitle>
    <b:URL>https://data.seoul.go.kr/dataVisual/seoul/seoulLivingPopulation.do</b:URL>
    <b:RefOrder>1</b:RefOrder>
  </b:Source>
</b:Sources>
</file>

<file path=customXml/itemProps1.xml><?xml version="1.0" encoding="utf-8"?>
<ds:datastoreItem xmlns:ds="http://schemas.openxmlformats.org/officeDocument/2006/customXml" ds:itemID="{EB1CFD53-E388-41FF-B58F-17E5ABEDE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2090</Words>
  <Characters>11919</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정애 민</dc:creator>
  <cp:keywords/>
  <dc:description/>
  <cp:lastModifiedBy>정애 민</cp:lastModifiedBy>
  <cp:revision>2</cp:revision>
  <cp:lastPrinted>2019-10-07T06:47:00Z</cp:lastPrinted>
  <dcterms:created xsi:type="dcterms:W3CDTF">2019-10-07T07:49:00Z</dcterms:created>
  <dcterms:modified xsi:type="dcterms:W3CDTF">2019-10-07T07:49:00Z</dcterms:modified>
</cp:coreProperties>
</file>