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C63252">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C63252">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887B61" w:rsidRDefault="00463F80" w:rsidP="00887B61">
          <w:pPr>
            <w:ind w:firstLine="420"/>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311947</wp:posOffset>
                    </wp:positionH>
                    <wp:positionV relativeFrom="paragraph">
                      <wp:posOffset>1153160</wp:posOffset>
                    </wp:positionV>
                    <wp:extent cx="4657061"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657061" cy="1754372"/>
                            </a:xfrm>
                            <a:prstGeom prst="rect">
                              <a:avLst/>
                            </a:prstGeom>
                            <a:noFill/>
                            <a:ln w="6350">
                              <a:noFill/>
                            </a:ln>
                          </wps:spPr>
                          <wps:txbx>
                            <w:txbxContent>
                              <w:p w:rsidR="00463F80" w:rsidRPr="001821B7" w:rsidRDefault="00887B61" w:rsidP="00887B61">
                                <w:pPr>
                                  <w:jc w:val="center"/>
                                  <w:rPr>
                                    <w:rFonts w:asciiTheme="minorEastAsia" w:hAnsiTheme="minorEastAsia"/>
                                    <w:b/>
                                    <w:sz w:val="72"/>
                                  </w:rPr>
                                </w:pPr>
                                <w:r w:rsidRPr="00887B61">
                                  <w:rPr>
                                    <w:rFonts w:asciiTheme="minorEastAsia" w:hAnsiTheme="minorEastAsia" w:hint="eastAsia"/>
                                    <w:b/>
                                    <w:sz w:val="72"/>
                                  </w:rPr>
                                  <w:t>201</w:t>
                                </w:r>
                                <w:r w:rsidR="00C63252">
                                  <w:rPr>
                                    <w:rFonts w:asciiTheme="minorEastAsia" w:hAnsiTheme="minorEastAsia"/>
                                    <w:b/>
                                    <w:sz w:val="72"/>
                                  </w:rPr>
                                  <w:t>7</w:t>
                                </w:r>
                                <w:r w:rsidRPr="00887B61">
                                  <w:rPr>
                                    <w:rFonts w:asciiTheme="minorEastAsia" w:hAnsiTheme="minorEastAsia" w:hint="eastAsia"/>
                                    <w:b/>
                                    <w:sz w:val="72"/>
                                  </w:rPr>
                                  <w:t>年民政部门年度工作总结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24.55pt;margin-top:90.8pt;width:366.7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" filled="f" stroked="f" strokeweight=".5pt">
                    <v:textbox>
                      <w:txbxContent>
                        <w:p w:rsidR="00463F80" w:rsidRPr="001821B7" w:rsidRDefault="00887B61" w:rsidP="00887B61">
                          <w:pPr>
                            <w:jc w:val="center"/>
                            <w:rPr>
                              <w:rFonts w:asciiTheme="minorEastAsia" w:hAnsiTheme="minorEastAsia"/>
                              <w:b/>
                              <w:sz w:val="72"/>
                            </w:rPr>
                          </w:pPr>
                          <w:r w:rsidRPr="00887B61">
                            <w:rPr>
                              <w:rFonts w:asciiTheme="minorEastAsia" w:hAnsiTheme="minorEastAsia" w:hint="eastAsia"/>
                              <w:b/>
                              <w:sz w:val="72"/>
                            </w:rPr>
                            <w:t>201</w:t>
                          </w:r>
                          <w:r w:rsidR="00C63252">
                            <w:rPr>
                              <w:rFonts w:asciiTheme="minorEastAsia" w:hAnsiTheme="minorEastAsia"/>
                              <w:b/>
                              <w:sz w:val="72"/>
                            </w:rPr>
                            <w:t>7</w:t>
                          </w:r>
                          <w:r w:rsidRPr="00887B61">
                            <w:rPr>
                              <w:rFonts w:asciiTheme="minorEastAsia" w:hAnsiTheme="minorEastAsia" w:hint="eastAsia"/>
                              <w:b/>
                              <w:sz w:val="72"/>
                            </w:rPr>
                            <w:t>年民政部门年度工作总结</w:t>
                          </w: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887B61" w:rsidRPr="00887B61" w:rsidRDefault="00887B61" w:rsidP="00887B61">
      <w:pPr>
        <w:ind w:firstLineChars="200" w:firstLine="560"/>
        <w:rPr>
          <w:rFonts w:ascii="宋体" w:hAnsi="宋体"/>
          <w:sz w:val="28"/>
        </w:rPr>
      </w:pPr>
      <w:r w:rsidRPr="00887B61">
        <w:rPr>
          <w:rFonts w:ascii="宋体" w:hAnsi="宋体" w:hint="eastAsia"/>
          <w:sz w:val="28"/>
        </w:rPr>
        <w:lastRenderedPageBreak/>
        <w:t>今年在区委、区政府的领导下，高举邓小平理论伟大旗帜，努力实践“三个代表”重要思想，以“上为政府分忧，下为百姓解愁”为工作宗旨，以依法管理全区社会事务，保障人民群众的基本生活权益和民主政治权利为己任，紧紧围绕“改革、发展、稳定”的大局，开拓创新，扎实工作，各项民政工作健康发展，特别在第二季度，面对突如其来的“非典”肆虐，一手抓“非典”防治，一手抓工作，特别是在防治非典的关键时刻，乡、办两级民政工作者，时刻战斗在防治非典的第一线，在出色完成指令性包村工作任务的同时，将防治“非典”的药品，购置的器械及时送到优抚对象和贫困户等弱势群体手中，夺取了防治“非典”的阶段性胜利，为促进全区政治文明、精神文明、物质文明建设做出了积极贡献。殡葬改革、社区建设等项工作再上新台阶，城乡低保、救灾救济等项工作成效显著，优抚安置、民间组织、老龄等项工作取得积极进展，城市民政工作、基层基础工作继续得到加强。现将一年来的工作总结如下：</w:t>
      </w:r>
    </w:p>
    <w:p w:rsidR="00887B61" w:rsidRPr="00887B61" w:rsidRDefault="00887B61" w:rsidP="00887B61">
      <w:pPr>
        <w:ind w:firstLine="420"/>
        <w:rPr>
          <w:rFonts w:ascii="宋体" w:hAnsi="宋体"/>
          <w:b/>
          <w:sz w:val="28"/>
        </w:rPr>
      </w:pPr>
      <w:r w:rsidRPr="00887B61">
        <w:rPr>
          <w:rFonts w:ascii="宋体" w:hAnsi="宋体" w:hint="eastAsia"/>
          <w:b/>
          <w:sz w:val="28"/>
        </w:rPr>
        <w:t>一、城市低保和救灾救济方面</w:t>
      </w:r>
    </w:p>
    <w:p w:rsidR="00887B61" w:rsidRPr="00887B61" w:rsidRDefault="00887B61" w:rsidP="00887B61">
      <w:pPr>
        <w:ind w:firstLineChars="200" w:firstLine="560"/>
        <w:rPr>
          <w:rFonts w:ascii="宋体" w:hAnsi="宋体"/>
          <w:sz w:val="28"/>
        </w:rPr>
      </w:pPr>
      <w:r w:rsidRPr="00887B61">
        <w:rPr>
          <w:rFonts w:ascii="宋体" w:hAnsi="宋体" w:hint="eastAsia"/>
          <w:sz w:val="28"/>
        </w:rPr>
        <w:t>加强低保工作。各级民政部门认真贯彻落实国办发［20</w:t>
      </w:r>
      <w:r w:rsidR="00C63252">
        <w:rPr>
          <w:rFonts w:ascii="宋体" w:hAnsi="宋体"/>
          <w:sz w:val="28"/>
        </w:rPr>
        <w:t>17</w:t>
      </w:r>
      <w:r w:rsidRPr="00887B61">
        <w:rPr>
          <w:rFonts w:ascii="宋体" w:hAnsi="宋体" w:hint="eastAsia"/>
          <w:sz w:val="28"/>
        </w:rPr>
        <w:t>］87号文件和盛市工作会议精神，强力推进</w:t>
      </w:r>
      <w:proofErr w:type="gramStart"/>
      <w:r w:rsidRPr="00887B61">
        <w:rPr>
          <w:rFonts w:ascii="宋体" w:hAnsi="宋体" w:hint="eastAsia"/>
          <w:sz w:val="28"/>
        </w:rPr>
        <w:t>城乡低保工作</w:t>
      </w:r>
      <w:proofErr w:type="gramEnd"/>
      <w:r w:rsidRPr="00887B61">
        <w:rPr>
          <w:rFonts w:ascii="宋体" w:hAnsi="宋体" w:hint="eastAsia"/>
          <w:sz w:val="28"/>
        </w:rPr>
        <w:t>。随着低保工作的不断发展，针对重点和难点问题，进行了深入调查研究，大胆探索解决办法，不断完善低保制度。一是建章立制构筑政策平台，完善了城镇居民家庭收入测算办法，科学制定了低保标准，坚持与本地最低工资标准和失业保险标准相衔接，对不同人员实行不同的保障标准，使保障标准更加科学，更加符合实际，同时建立健全了低保工作各项规</w:t>
      </w:r>
      <w:r w:rsidRPr="00887B61">
        <w:rPr>
          <w:rFonts w:ascii="宋体" w:hAnsi="宋体" w:hint="eastAsia"/>
          <w:sz w:val="28"/>
        </w:rPr>
        <w:lastRenderedPageBreak/>
        <w:t>章制度，制成版面硬化上墙。二是规范操作，确保公正、公平，制定了从个人申请到逐级审核、核资金发放的一整套操作规程，实行动态管理，以季度为单位，每季度审核一次。今年3月份，我局抽调熟知低保政策法规、秉公办事、工作细致、责任心强的15名工作人员，分成3个小组，分别由一名科级领导干部带队，分赴各乡办对全区申请低保的对象进行了为期一个月的全面摸底调查。调查采劝一看家底，二问收入，三查就业情况，四核水电气暖开支，五了解隐性收入”的有效措施，坚持“符合条件的一个不漏，不符合条件的一个不保”，完全按照政策规定，严格把关。据统计，全区共保障3412人，取消78户，320人，做到了低保对象有进有出，标准有升有降，真正实现动态管理下的“应保尽保”。在低保资金发放中，实行按月及时下拨、及时发放。全年共发放低保资金150万元，切实维护了城乡困难群众的基本生活权益，为全区的政治稳定起到了“安全网”、“保障器”作用。</w:t>
      </w:r>
    </w:p>
    <w:p w:rsidR="00887B61" w:rsidRPr="00887B61" w:rsidRDefault="00887B61" w:rsidP="00887B61">
      <w:pPr>
        <w:ind w:firstLineChars="200" w:firstLine="560"/>
        <w:rPr>
          <w:rFonts w:ascii="宋体" w:hAnsi="宋体"/>
          <w:sz w:val="28"/>
        </w:rPr>
      </w:pPr>
      <w:r w:rsidRPr="00887B61">
        <w:rPr>
          <w:rFonts w:ascii="宋体" w:hAnsi="宋体" w:hint="eastAsia"/>
          <w:sz w:val="28"/>
        </w:rPr>
        <w:t>积极做好救灾救济工作。20</w:t>
      </w:r>
      <w:r w:rsidR="00C63252">
        <w:rPr>
          <w:rFonts w:ascii="宋体" w:hAnsi="宋体"/>
          <w:sz w:val="28"/>
        </w:rPr>
        <w:t>17</w:t>
      </w:r>
      <w:r w:rsidRPr="00887B61">
        <w:rPr>
          <w:rFonts w:ascii="宋体" w:hAnsi="宋体" w:hint="eastAsia"/>
          <w:sz w:val="28"/>
        </w:rPr>
        <w:t>年是一个自然灾害频发的年份。3月初，我区遭受了倒春寒天气的侵袭，造成小麦减产。6月初，岳村、孟轲两乡又遭受了冰雹袭击，近3万亩秋作物遭受重创。8－10月中旬，阴雨连绵，阳光寡照，造成内涝灾害，全区秋作物大幅度减产，大量房屋损坏或倒塌，给人民群众的生产生活造成巨大损失，使134户五保户、296户特困户、402户重灾户的生产生活陷入困境。面对重大灾情，积极开展抗灾救灾工作，我们全华动员，组织人员深入基层，深入群众，对受灾严重困难程度较大的农户，逐村逐户逐人进行</w:t>
      </w:r>
      <w:r w:rsidRPr="00887B61">
        <w:rPr>
          <w:rFonts w:ascii="宋体" w:hAnsi="宋体" w:hint="eastAsia"/>
          <w:sz w:val="28"/>
        </w:rPr>
        <w:lastRenderedPageBreak/>
        <w:t>了拉网式排查，全面掌握其生产、生活情况、居住情况，并登记造册，认真核实灾情，及时上报信息。我们一方面积极向市民政局反映情况，争取救灾资金，以解决全区特困群众的基本生活。一方面组织广大群众生产自救、生活互助。为切实解决好困难群众的生活问题，10月份，在全区开展了“扶贫济困送温暖”捐助活动，区委办公室、区政府办室联合下了《关于开展“扶贫济困送温暖”捐助活动的通知》，要求全区广大干部职工抻出援助之手，为全区困难群众送温暖献爱心。全区广大干部职工积极响应，纷纷解囊，捐款捐物。据统计，全区共捐款20多万元，棉衣4000多件，棉被40多条，充分体现“一方有难、八方支援”的传统美德。根据需救助困难群众的分布情况，于</w:t>
      </w:r>
      <w:smartTag w:uri="urn:schemas-microsoft-com:office:smarttags" w:element="chsdate">
        <w:smartTagPr>
          <w:attr w:name="Year" w:val="2010"/>
          <w:attr w:name="Month" w:val="11"/>
          <w:attr w:name="Day" w:val="10"/>
          <w:attr w:name="IsLunarDate" w:val="False"/>
          <w:attr w:name="IsROCDate" w:val="False"/>
        </w:smartTagPr>
        <w:r w:rsidRPr="00887B61">
          <w:rPr>
            <w:rFonts w:ascii="宋体" w:hAnsi="宋体" w:hint="eastAsia"/>
            <w:sz w:val="28"/>
          </w:rPr>
          <w:t>11月10日</w:t>
        </w:r>
      </w:smartTag>
      <w:r w:rsidRPr="00887B61">
        <w:rPr>
          <w:rFonts w:ascii="宋体" w:hAnsi="宋体" w:hint="eastAsia"/>
          <w:sz w:val="28"/>
        </w:rPr>
        <w:t>将募集的款物下发到救助对象手中，确保了受灾群众的基本生活，体现了区委、区政府对困难群众的关心和爱护，为全区的社会稳定起到了积极促进作用。</w:t>
      </w:r>
    </w:p>
    <w:p w:rsidR="00887B61" w:rsidRPr="00887B61" w:rsidRDefault="00887B61" w:rsidP="00887B61">
      <w:pPr>
        <w:ind w:firstLine="420"/>
        <w:rPr>
          <w:rFonts w:ascii="宋体" w:hAnsi="宋体"/>
          <w:b/>
          <w:sz w:val="28"/>
        </w:rPr>
      </w:pPr>
      <w:r w:rsidRPr="00887B61">
        <w:rPr>
          <w:rFonts w:ascii="宋体" w:hAnsi="宋体" w:hint="eastAsia"/>
          <w:b/>
          <w:sz w:val="28"/>
        </w:rPr>
        <w:t>二、社区建设方面</w:t>
      </w:r>
    </w:p>
    <w:p w:rsidR="00887B61" w:rsidRPr="00887B61" w:rsidRDefault="00887B61" w:rsidP="00887B61">
      <w:pPr>
        <w:ind w:firstLineChars="200" w:firstLine="560"/>
        <w:rPr>
          <w:rFonts w:ascii="宋体" w:hAnsi="宋体"/>
          <w:sz w:val="28"/>
        </w:rPr>
      </w:pPr>
      <w:r w:rsidRPr="00887B61">
        <w:rPr>
          <w:rFonts w:ascii="宋体" w:hAnsi="宋体" w:hint="eastAsia"/>
          <w:sz w:val="28"/>
        </w:rPr>
        <w:t>加强社区建设是巩固城市基层政权，更好地管理城市，服务城市的基础工程，是构建“小政府、大社会”格局的内在要求。为此，我们认真贯彻《中共中央办公厅、国务院办公厅关于转发＜民政部关于在全国推进城市社区建设的意见＞》，在20</w:t>
      </w:r>
      <w:r w:rsidR="00C63252">
        <w:rPr>
          <w:rFonts w:ascii="宋体" w:hAnsi="宋体"/>
          <w:sz w:val="28"/>
        </w:rPr>
        <w:t>17</w:t>
      </w:r>
      <w:bookmarkStart w:id="0" w:name="_GoBack"/>
      <w:bookmarkEnd w:id="0"/>
      <w:r w:rsidRPr="00887B61">
        <w:rPr>
          <w:rFonts w:ascii="宋体" w:hAnsi="宋体" w:hint="eastAsia"/>
          <w:sz w:val="28"/>
        </w:rPr>
        <w:t>年大力推进社区建设，成功创建“全国社区建设示范区”的基础上，确立了“抓发展、重建设、上档次、创特色”的发展方向。</w:t>
      </w:r>
    </w:p>
    <w:p w:rsidR="00887B61" w:rsidRPr="00887B61" w:rsidRDefault="00887B61" w:rsidP="00887B61">
      <w:pPr>
        <w:ind w:firstLineChars="200" w:firstLine="560"/>
        <w:rPr>
          <w:rFonts w:ascii="宋体" w:hAnsi="宋体"/>
          <w:sz w:val="28"/>
        </w:rPr>
      </w:pPr>
      <w:r w:rsidRPr="00887B61">
        <w:rPr>
          <w:rFonts w:ascii="宋体" w:hAnsi="宋体" w:hint="eastAsia"/>
          <w:sz w:val="28"/>
        </w:rPr>
        <w:t>一是加大对社区建设的督导力度，进一步加快社区建设步伐，着力在“建设”上用功夫，力争于“新型”上有创新，树立大社区、大</w:t>
      </w:r>
      <w:r w:rsidRPr="00887B61">
        <w:rPr>
          <w:rFonts w:ascii="宋体" w:hAnsi="宋体" w:hint="eastAsia"/>
          <w:sz w:val="28"/>
        </w:rPr>
        <w:lastRenderedPageBreak/>
        <w:t>服务的理念，以实现社区建设和城市民政工作的整体推进。京东、黄河北两处标准式社区办公用房交付使用，玉北、永乐、金华等社区基础设施进一步完善。年初确定新建的5个面积在450平方米以上的亮点社区中，任丘办清华苑已交付使用，中原办中庆社区居委会办公地点已破土动工，南江、黄河南社区已经市建委规划处通过，批文已下达两办，将于近期开工。</w:t>
      </w:r>
    </w:p>
    <w:p w:rsidR="00887B61" w:rsidRPr="00887B61" w:rsidRDefault="00887B61" w:rsidP="00887B61">
      <w:pPr>
        <w:ind w:firstLineChars="200" w:firstLine="560"/>
        <w:rPr>
          <w:rFonts w:ascii="宋体" w:hAnsi="宋体"/>
          <w:sz w:val="28"/>
        </w:rPr>
      </w:pPr>
      <w:r w:rsidRPr="00887B61">
        <w:rPr>
          <w:rFonts w:ascii="宋体" w:hAnsi="宋体" w:hint="eastAsia"/>
          <w:sz w:val="28"/>
        </w:rPr>
        <w:t>二是合理整合社区，提升城市管理水平。为便于服务城区居民，改善社区办公条件，合理配置社区资源，提升城市管理功能，根据中央23号文件精神，本着便于居民自我管理、自我教育、自我服务的原则，在和办事处充分协调的基础上，对原来的71个社区居委会进行了整合。街道混合式社区将原来的34个增加为36个，地企由原来的10个社区，保留2个，其余划归街道管理，油田基地由原来的19个社区增设为28个社区，共设社区居委会66个，新的社区设置分布趋向合理，四界清楚，职责明确，更便于服务和管理。</w:t>
      </w:r>
    </w:p>
    <w:p w:rsidR="00887B61" w:rsidRPr="00887B61" w:rsidRDefault="00887B61" w:rsidP="00887B61">
      <w:pPr>
        <w:ind w:firstLineChars="200" w:firstLine="560"/>
        <w:rPr>
          <w:rFonts w:ascii="宋体" w:hAnsi="宋体"/>
          <w:sz w:val="28"/>
        </w:rPr>
      </w:pPr>
      <w:r w:rsidRPr="00887B61">
        <w:rPr>
          <w:rFonts w:ascii="宋体" w:hAnsi="宋体" w:hint="eastAsia"/>
          <w:sz w:val="28"/>
        </w:rPr>
        <w:t>三是强化队伍建设，提高社区工作者整体素质。严把进人关，广开用人之道，努力把那些政治觉悟高、思想素质好、工作能力强、热心社区居民工作的人才，通过正当途径充实到社区第一线。采取竞争上岗的办法，实行兵选将、将挑兵等行之有效的用人激励机制，鼓励有志于社区建设的机关工作人员到社区第一线去展示才华，实现自己的人生价值。在工作摆布上，大胆放权效责，实行居委会主任负责制，定岗、定责、定目标，进一步理顺和完善了社区管理体制和运行机制，使其充分发挥人才优势，大力发展社区服务、社区文化、社区卫生、</w:t>
      </w:r>
      <w:r w:rsidRPr="00887B61">
        <w:rPr>
          <w:rFonts w:ascii="宋体" w:hAnsi="宋体" w:hint="eastAsia"/>
          <w:sz w:val="28"/>
        </w:rPr>
        <w:lastRenderedPageBreak/>
        <w:t>社区环境、社区治安等工作，取得了显著成绩。今年9月份，金联华社区居委会主任贺吉华被中共中央组织部、中华人民共和国民政部授予“全国社区优秀工作者荣誉称号”。</w:t>
      </w:r>
    </w:p>
    <w:p w:rsidR="00887B61" w:rsidRDefault="00887B61" w:rsidP="00887B61">
      <w:pPr>
        <w:ind w:firstLineChars="200" w:firstLine="560"/>
        <w:rPr>
          <w:rFonts w:ascii="宋体" w:hAnsi="宋体"/>
          <w:sz w:val="28"/>
        </w:rPr>
      </w:pPr>
      <w:r w:rsidRPr="00887B61">
        <w:rPr>
          <w:rFonts w:ascii="宋体" w:hAnsi="宋体" w:hint="eastAsia"/>
          <w:sz w:val="28"/>
        </w:rPr>
        <w:t>四是积极开展社区治安大联防，建设安居型社区，完善社区居委会职能，加强社区居委会领导和综治机构建设。全区71个社区全部成立了社区治安综合治理办公室，负责社区综治工作，实施社区警备战略，建立健全治安防范体系，大力开展法制教育，以居民学校为载体，广泛开展经常性、群众性的法制教育和法律咨询活动。积极做好民事调解工作，化解矛盾，消除社会不稳定因素。今年8月7日，全市社区治安在大联防现场会在我区召开，盛市及各县区有关领导实地查看了*社区、*社区等社区治安大联防工作开展情况，对我区以社区居委会为依托，开展社区治安人员大联防的做法及经验给予了高度评价。</w:t>
      </w:r>
    </w:p>
    <w:p w:rsidR="00887B61" w:rsidRPr="00887B61" w:rsidRDefault="00887B61" w:rsidP="00887B61">
      <w:pPr>
        <w:ind w:firstLineChars="200" w:firstLine="560"/>
        <w:rPr>
          <w:rFonts w:ascii="宋体" w:hAnsi="宋体"/>
          <w:sz w:val="28"/>
        </w:rPr>
      </w:pPr>
    </w:p>
    <w:p w:rsidR="00463F80" w:rsidRDefault="00887B61">
      <w:pPr>
        <w:widowControl/>
        <w:jc w:val="left"/>
        <w:rPr>
          <w:noProof/>
        </w:rPr>
      </w:pP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1939290</wp:posOffset>
            </wp:positionV>
            <wp:extent cx="5274310" cy="1357589"/>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7589"/>
                    </a:xfrm>
                    <a:prstGeom prst="rect">
                      <a:avLst/>
                    </a:prstGeom>
                    <a:noFill/>
                    <a:ln>
                      <a:noFill/>
                    </a:ln>
                  </pic:spPr>
                </pic:pic>
              </a:graphicData>
            </a:graphic>
          </wp:anchor>
        </w:drawing>
      </w:r>
    </w:p>
    <w:sectPr w:rsidR="00463F80"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504150"/>
    <w:rsid w:val="006256F0"/>
    <w:rsid w:val="00887B61"/>
    <w:rsid w:val="00C5391A"/>
    <w:rsid w:val="00C63252"/>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3999549E"/>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7B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2017-12-07T15:41:00Z</cp:lastPrinted>
  <dcterms:created xsi:type="dcterms:W3CDTF">2016-12-07T09:35:00Z</dcterms:created>
  <dcterms:modified xsi:type="dcterms:W3CDTF">2017-12-07T15:41:00Z</dcterms:modified>
</cp:coreProperties>
</file>