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pacing w:val="60"/>
          <w:sz w:val="24"/>
          <w:szCs w:val="24"/>
        </w:rPr>
        <w:t xml:space="preserve">PROJECT DESIGN PHASE</w:t>
      </w:r>
    </w:p>
    <w:p>
      <w:pPr>
        <w:spacing w:after="60"/>
        <w:jc w:val="center"/>
      </w:pPr>
      <w:r>
        <w:rPr>
          <w:b/>
          <w:bCs/>
          <w:sz w:val="44"/>
          <w:szCs w:val="44"/>
        </w:rPr>
        <w:t xml:space="preserve">Proposed Solution Template</w:t>
      </w:r>
    </w:p>
    <w:p>
      <w:pPr>
        <w:pBdr>
          <w:bottom w:val="single" w:color="000000" w:sz="12" w:space="8"/>
        </w:pBdr>
        <w:spacing w:after="240"/>
        <w:jc w:val="center"/>
      </w:pPr>
      <w:r>
        <w:rPr>
          <w:i/>
          <w:iCs/>
          <w:sz w:val="24"/>
          <w:szCs w:val="24"/>
        </w:rPr>
        <w:t xml:space="preserve">Project Design Phase Verification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Date</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24-10-2026</w:t>
            </w:r>
          </w:p>
        </w:tc>
      </w:tr>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Team ID / Participant</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 (324103312L45)</w:t>
            </w:r>
          </w:p>
        </w:tc>
      </w:tr>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Project Name</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Incident Lifecycle Automation in ServiceNow</w:t>
            </w:r>
          </w:p>
        </w:tc>
      </w:tr>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Maximum Marks</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 Marks</w:t>
            </w:r>
          </w:p>
        </w:tc>
      </w:tr>
    </w:tbl>
    <w:p>
      <w:pPr>
        <w:spacing w:after="80"/>
      </w:pPr>
    </w:p>
    <w:p>
      <w:pPr>
        <w:pStyle w:val="Heading1"/>
        <w:keepNext/>
        <w:spacing w:after="140" w:before="320"/>
      </w:pPr>
      <w:r>
        <w:t xml:space="preserve">Proposed Solution Parameter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38"/>
      </w:tblGrid>
      <w:tr>
        <w:trPr>
          <w:tblHeader/>
        </w:trPr>
        <w:tc>
          <w:tcPr>
            <w:tcW w:type="dxa" w:w="8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S.No.</w:t>
            </w:r>
          </w:p>
        </w:tc>
        <w:tc>
          <w:tcPr>
            <w:tcW w:type="dxa" w:w="24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Parameter</w:t>
            </w:r>
          </w:p>
        </w:tc>
        <w:tc>
          <w:tcPr>
            <w:tcW w:type="dxa" w:w="6438"/>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Project-Specific Description</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Problem Statement (Problem to be solved)</w:t>
            </w:r>
          </w:p>
        </w:tc>
        <w:tc>
          <w:tcPr>
            <w:tcW w:type="dxa" w:w="64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Service Desk agents and end-users lack an integrated, automated process to classify, investigate, and resolve IT service disruptions (e.g., corporate VPN connectivity failures). When incidents are logged through unmanaged channels without structured CMDB service categorization, triage delays occur, Resolution SLA timers breach during infrastructure fixes, complex defects remain disconnected from Change Requests, and resolution work notes must be manually duplicated across multiple child tickets.</w:t>
            </w:r>
          </w:p>
        </w:tc>
      </w:tr>
      <w:tr>
        <w:trPr>
          <w:cantSplit/>
        </w:trPr>
        <w:tc>
          <w:tcPr>
            <w:tcW w:type="dxa" w:w="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2</w:t>
            </w:r>
          </w:p>
        </w:tc>
        <w:tc>
          <w:tcPr>
            <w:tcW w:type="dxa" w:w="24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Idea / Solution description</w:t>
            </w:r>
          </w:p>
        </w:tc>
        <w:tc>
          <w:tcPr>
            <w:tcW w:type="dxa" w:w="64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Implement an automated Incident Lifecycle solution in ServiceNow utilizing Service Operations Workspace for unified intake; map parent Service (</w:t>
            </w:r>
            <w:r>
              <w:rPr>
                <w:rFonts w:ascii="Consolas" w:cs="Consolas" w:eastAsia="Consolas" w:hAnsi="Consolas"/>
                <w:sz w:val="20"/>
                <w:szCs w:val="20"/>
              </w:rPr>
              <w:t xml:space="preserve">cmdb_ci_service</w:t>
            </w:r>
            <w:r>
              <w:rPr>
                <w:sz w:val="20"/>
                <w:szCs w:val="20"/>
              </w:rPr>
              <w:t xml:space="preserve">) "Remote Access" and child Service Offering (</w:t>
            </w:r>
            <w:r>
              <w:rPr>
                <w:rFonts w:ascii="Consolas" w:cs="Consolas" w:eastAsia="Consolas" w:hAnsi="Consolas"/>
                <w:sz w:val="20"/>
                <w:szCs w:val="20"/>
              </w:rPr>
              <w:t xml:space="preserve">service_offering</w:t>
            </w:r>
            <w:r>
              <w:rPr>
                <w:sz w:val="20"/>
                <w:szCs w:val="20"/>
              </w:rPr>
              <w:t xml:space="preserve">) "VPN Access"; auto-calculate Priority (Impact x Urgency) via Data Lookup rules; surface contextual Knowledge Articles via Agent Assist; trigger automated Watch List notifications (Samantha Bordwell, Beth Anglin) upon Level 2 Network team reassignment; link Emergency Change Requests updating Configuration Items (PowerEdge) and setting State = 'On Hold (Awaiting Change)' to pause SLA timers; and automate resolution cascading from Parent Incidents to all linked Child Incidents alongside 1-click Knowledge Article generation.</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Novelty / Uniqueness</w:t>
            </w:r>
          </w:p>
        </w:tc>
        <w:tc>
          <w:tcPr>
            <w:tcW w:type="dxa" w:w="64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The solution's core value lies in seamless cross-module ITSM integration: Incident Management, CMDB Service Portfolio, Agent Assist Knowledge, Task SLAs, Change Management, and Parent-Child Cascading engine cooperate within a single native ServiceNow workflow. It eliminates redundant manual updates, protects SLA integrity during hardware repairs, and automatically turns incident resolutions into reusable Knowledge Base assets without requiring custom external code or third-party tracking databases.</w:t>
            </w:r>
          </w:p>
        </w:tc>
      </w:tr>
      <w:tr>
        <w:trPr>
          <w:cantSplit/>
        </w:trPr>
        <w:tc>
          <w:tcPr>
            <w:tcW w:type="dxa" w:w="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4</w:t>
            </w:r>
          </w:p>
        </w:tc>
        <w:tc>
          <w:tcPr>
            <w:tcW w:type="dxa" w:w="24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Social Impact / Customer Satisfaction</w:t>
            </w:r>
          </w:p>
        </w:tc>
        <w:tc>
          <w:tcPr>
            <w:tcW w:type="dxa" w:w="64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Self-service tracking and automated Watch List notifications reduce user anxiety and eliminate repetitive status inquiries during IT outages. Service Desk agents gain immediate diagnostic guidance through Agent Assist, while L2 Support Specialists benefit from automated parent-child resolution cascading—eliminating duplicate administrative work and reducing Mean Time to Resolution (MTTR) across the enterprise.</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Business Model (Operational Value)</w:t>
            </w:r>
          </w:p>
        </w:tc>
        <w:tc>
          <w:tcPr>
            <w:tcW w:type="dxa" w:w="64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The solution is an internal enterprise ITSM workflow automation rather than a direct revenue-generating product. Its business value is measured in operational cost avoidance: drastically reducing MTTR, preventing costly SLA breach penalties, eliminating duplicate ticket handling, and enforcing audit compliance across incident and change records.</w:t>
            </w:r>
          </w:p>
        </w:tc>
      </w:tr>
      <w:tr>
        <w:trPr>
          <w:cantSplit/>
        </w:trPr>
        <w:tc>
          <w:tcPr>
            <w:tcW w:type="dxa" w:w="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6</w:t>
            </w:r>
          </w:p>
        </w:tc>
        <w:tc>
          <w:tcPr>
            <w:tcW w:type="dxa" w:w="24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Scalability of the Solution</w:t>
            </w:r>
          </w:p>
        </w:tc>
        <w:tc>
          <w:tcPr>
            <w:tcW w:type="dxa" w:w="64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The automation architecture is highly scalable and easily extendable across additional IT services, assignment groups, SLA definitions, and Change Request workflows using standard ServiceNow Flow Designer, Data Lookup Rules, and Service Operations Workspace configurations—bounded only by instance capacity and platform governance.</w:t>
            </w:r>
          </w:p>
        </w:tc>
      </w:tr>
    </w:tbl>
    <w:p>
      <w:pPr>
        <w:pStyle w:val="Heading1"/>
        <w:keepNext/>
        <w:spacing w:after="140" w:before="320"/>
      </w:pPr>
      <w:r>
        <w:t xml:space="preserve">Implementation Principles</w:t>
      </w:r>
    </w:p>
    <w:p>
      <w:pPr>
        <w:pStyle w:val="ListParagraph"/>
        <w:numPr>
          <w:ilvl w:val="0"/>
          <w:numId w:val="2"/>
        </w:numPr>
        <w:spacing w:after="100" w:line="276"/>
      </w:pPr>
      <w:r>
        <w:rPr>
          <w:b/>
          <w:bCs/>
        </w:rPr>
        <w:t xml:space="preserve">Separation of Triage &amp; Infrastructure Remediation:</w:t>
      </w:r>
      <w:r>
        <w:t xml:space="preserve"> Incident triage and priority auto-calculation must occur upon intake. When root-cause analysis identifies infrastructure dependencies requiring hardware repairs, an Emergency Change Request must be linked, updating the Configuration Item (PowerEdge) and setting the incident State to "On Hold (Awaiting Change)" to pause Resolution SLA timers.</w:t>
      </w:r>
    </w:p>
    <w:p>
      <w:pPr>
        <w:pStyle w:val="ListParagraph"/>
        <w:numPr>
          <w:ilvl w:val="0"/>
          <w:numId w:val="2"/>
        </w:numPr>
        <w:spacing w:after="100" w:line="276"/>
      </w:pPr>
      <w:r>
        <w:rPr>
          <w:b/>
          <w:bCs/>
        </w:rPr>
        <w:t xml:space="preserve">Automated Parent-Child Cascading:</w:t>
      </w:r>
      <w:r>
        <w:t xml:space="preserve"> Resolving a Parent Incident must automatically propagate State = "Resolved", Resolution Code = "Solution Provided", and detailed Resolution Notes to all linked Child Incidents, ensuring multi-user outage consistency without manual intervention.</w:t>
      </w:r>
    </w:p>
    <w:p>
      <w:pPr>
        <w:pStyle w:val="ListParagraph"/>
        <w:numPr>
          <w:ilvl w:val="0"/>
          <w:numId w:val="2"/>
        </w:numPr>
        <w:spacing w:after="100" w:line="276"/>
      </w:pPr>
      <w:r>
        <w:rPr>
          <w:b/>
          <w:bCs/>
        </w:rPr>
        <w:t xml:space="preserve">Continuous Knowledge Capture:</w:t>
      </w:r>
      <w:r>
        <w:t xml:space="preserve"> Upon incident resolution, support specialists can generate a new Knowledge Article draft directly from the resolved incident form to continuously expand the "IT" Knowledge Base.</w:t>
      </w:r>
    </w:p>
    <w:p>
      <w:pPr>
        <w:pStyle w:val="Heading1"/>
        <w:keepNext/>
        <w:spacing w:after="140" w:before="320"/>
      </w:pPr>
      <w:r>
        <w:t xml:space="preserve">Validation Note</w:t>
      </w:r>
    </w:p>
    <w:p>
      <w:pPr>
        <w:spacing w:after="120" w:line="276"/>
      </w:pPr>
      <w:r>
        <w:t xml:space="preserve">This document describes the proposed solution design and expected operational value for Incident Lifecycle Automation in ServiceNow. It represents a verified technical architecture validated across all project development phases, with artifacts captured in Update Set </w:t>
      </w:r>
      <w:r>
        <w:rPr>
          <w:rFonts w:ascii="Consolas" w:cs="Consolas" w:eastAsia="Consolas" w:hAnsi="Consolas"/>
          <w:sz w:val="20"/>
          <w:szCs w:val="20"/>
        </w:rPr>
        <w:t xml:space="preserve">Incident_Lifecycle_Automation_v1</w:t>
      </w:r>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Incident Lifecycle Automation in ServiceNow  |  Proposed Solution Template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0"/>
      <w:szCs w:val="30"/>
    </w:rPr>
  </w:style>
  <w:style w:type="paragraph" w:styleId="Heading2">
    <w:name w:val="Heading 2"/>
    <w:basedOn w:val="Normal"/>
    <w:next w:val="Normal"/>
    <w:qFormat/>
    <w:pPr>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2026-10-24T08:27:17.508Z</dcterms:created>
  <dcterms:modified xsi:type="dcterms:W3CDTF">2026-10-24T08:27:17.513Z</dcterms:modified>
</cp:coreProperties>
</file>

<file path=docProps/custom.xml><?xml version="1.0" encoding="utf-8"?>
<Properties xmlns="http://schemas.openxmlformats.org/officeDocument/2006/custom-properties" xmlns:vt="http://schemas.openxmlformats.org/officeDocument/2006/docPropsVTypes"/>
</file>