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Project Development Phase Verification</w:t>
      </w:r>
    </w:p>
    <w:p>
      <w:pPr>
        <w:spacing w:after="240"/>
        <w:jc w:val="center"/>
      </w:pPr>
      <w:r>
        <w:rPr>
          <w:rFonts w:ascii="Arial" w:cs="Arial" w:eastAsia="Arial" w:hAnsi="Arial"/>
          <w:color w:val="000000"/>
          <w:sz w:val="26"/>
          <w:szCs w:val="26"/>
        </w:rPr>
        <w:t xml:space="preserve">Phase 13: Testing &amp; Deployment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24-10-2026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Team ID / Participant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Yelaka Praharsha (324103312L45)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As specified by template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Automation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Phase 13 executes systemic testing and deployment validation for the end-to-end ServiceNow incident lifecycle workflow. This scenario verifies cross-functional module integration including Incident Lifecycle, Escalation Processes, Emergency Change Integration, Knowledge Creation, Child Incident Cascade Management, SLA Tracking, and Multi-Team Collaboration prior to production deployment.</w:t>
      </w:r>
    </w:p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Verification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0"/>
        <w:gridCol w:w="3200"/>
        <w:gridCol w:w="3010"/>
        <w:gridCol w:w="1200"/>
      </w:tblGrid>
      <w:tr>
        <w:trPr>
          <w:cantSplit/>
          <w:tblHeader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Expected behavior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Verification evidence to capture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End-to-End Lifecycle &amp; Escalation Testing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Validate seamless incident progression through intake, L1 intake, Watch list notifications, L2 reassignment, and SLA trigger accuracy.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 execution logs demonstrating multi-tier routing and escalation without workflow bottlenecks.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 &amp; Knowledge Integration Testing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Verify that Emergency Change Request creation successfully pauses SLA timers and Knowledge Article generation automatically populates from resolution data.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Change Request linkage and Knowledge Management creation test suite execution results.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Child Cascade &amp; Collaboration Testing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Test multi-team collaboration across Service Operations Workspace, ensuring parent resolution cascades state changes to linked child tickets.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Parent-Child synchronization test report confirming automated child ticket resolution.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  <w:tr>
        <w:trPr>
          <w:cantSplit/>
          <w:tblHeader w:val="false"/>
        </w:trPr>
        <w:tc>
          <w:tcPr>
            <w:tcW w:type="dxa" w:w="19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Deployment Readiness Verification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Confirm all workflow rules, field mappings, SLA definitions, and workspace UI configurations pass pre-deployment release checks.</w:t>
            </w:r>
          </w:p>
        </w:tc>
        <w:tc>
          <w:tcPr>
            <w:tcW w:type="dxa" w:w="3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Deployment readiness checklist approved for production launch.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Complete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AI-Specific Fields from the Source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Template field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Project-specific 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Model summary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AI model is part of this project.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Training / validation accuracy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There is no model training or labelled evaluation dataset.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Fine-tuning result</w:t>
            </w:r>
          </w:p>
        </w:tc>
        <w:tc>
          <w:tcPr>
            <w:tcW w:type="dxa" w:w="6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Not applicable. No fine-tuning is performed.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Repository Evidence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ServiceNow Testing and Deployment Validation Test Execution Suite configuration.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2026-10-24T07:19:54.490Z</dcterms:created>
  <dcterms:modified xsi:type="dcterms:W3CDTF">2026-10-24T07:19:54.490Z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