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000000"/>
          <w:spacing w:val="60"/>
          <w:sz w:val="24"/>
          <w:szCs w:val="24"/>
        </w:rPr>
        <w:t xml:space="preserve">IDEATION PHASE</w:t>
      </w:r>
    </w:p>
    <w:p>
      <w:pPr>
        <w:spacing w:after="60"/>
        <w:jc w:val="center"/>
      </w:pPr>
      <w:r>
        <w:rPr>
          <w:b/>
          <w:bCs/>
          <w:color w:val="000000"/>
          <w:sz w:val="44"/>
          <w:szCs w:val="44"/>
        </w:rPr>
        <w:t xml:space="preserve">Brainstorm &amp; Idea Prioritization</w:t>
      </w:r>
    </w:p>
    <w:p>
      <w:pPr>
        <w:pBdr>
          <w:bottom w:val="single" w:color="000000" w:sz="12" w:space="8"/>
        </w:pBdr>
        <w:spacing w:after="240"/>
        <w:jc w:val="center"/>
      </w:pPr>
      <w:r>
        <w:rPr>
          <w:i/>
          <w:iCs/>
          <w:color w:val="000000"/>
          <w:sz w:val="24"/>
          <w:szCs w:val="24"/>
        </w:rPr>
        <w:t xml:space="preserve">Ideation Phase Verification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spacing w:after="0"/>
            </w:pPr>
            <w:r>
              <w:rPr>
                <w:b/>
                <w:bCs/>
                <w:sz w:val="20"/>
                <w:szCs w:val="20"/>
              </w:rPr>
              <w:t xml:space="preserve">Date</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24-10-2026</w:t>
            </w:r>
          </w:p>
        </w:tc>
      </w:tr>
      <w:tr>
        <w:tc>
          <w:tcPr>
            <w:tcW w:type="dxa" w:w="30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spacing w:after="0"/>
            </w:pPr>
            <w:r>
              <w:rPr>
                <w:b/>
                <w:bCs/>
                <w:sz w:val="20"/>
                <w:szCs w:val="20"/>
              </w:rPr>
              <w:t xml:space="preserve">Team ID / Participant</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Yelaka Praharsha (324103312L45)</w:t>
            </w:r>
          </w:p>
        </w:tc>
      </w:tr>
      <w:tr>
        <w:tc>
          <w:tcPr>
            <w:tcW w:type="dxa" w:w="30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spacing w:after="0"/>
            </w:pPr>
            <w:r>
              <w:rPr>
                <w:b/>
                <w:bCs/>
                <w:sz w:val="20"/>
                <w:szCs w:val="20"/>
              </w:rPr>
              <w:t xml:space="preserve">Project Name</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Incident Lifecycle Automation in ServiceNow</w:t>
            </w:r>
          </w:p>
        </w:tc>
      </w:tr>
      <w:tr>
        <w:tc>
          <w:tcPr>
            <w:tcW w:type="dxa" w:w="3000"/>
            <w:tcBorders>
              <w:top w:val="single" w:color="000000" w:sz="4"/>
              <w:left w:val="single" w:color="000000" w:sz="4"/>
              <w:bottom w:val="single" w:color="000000" w:sz="4"/>
              <w:right w:val="single" w:color="000000" w:sz="4"/>
            </w:tcBorders>
            <w:shd w:fill="EDEDED" w:color="auto" w:val="clear"/>
            <w:tcMar>
              <w:top w:type="dxa" w:w="70"/>
              <w:left w:type="dxa" w:w="110"/>
              <w:bottom w:type="dxa" w:w="70"/>
              <w:right w:type="dxa" w:w="110"/>
            </w:tcMar>
          </w:tcPr>
          <w:p>
            <w:pPr>
              <w:spacing w:after="0"/>
            </w:pPr>
            <w:r>
              <w:rPr>
                <w:b/>
                <w:bCs/>
                <w:sz w:val="20"/>
                <w:szCs w:val="20"/>
              </w:rPr>
              <w:t xml:space="preserve">Maximum Marks</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4 Marks</w:t>
            </w:r>
          </w:p>
        </w:tc>
      </w:tr>
    </w:tbl>
    <w:p>
      <w:pPr>
        <w:spacing w:after="80"/>
      </w:pPr>
    </w:p>
    <w:p>
      <w:pPr>
        <w:pStyle w:val="Heading1"/>
        <w:keepNext/>
        <w:spacing w:after="140" w:before="320"/>
      </w:pPr>
      <w:r>
        <w:t xml:space="preserve">Brainstorm &amp; Idea Prioritization Document</w:t>
      </w:r>
    </w:p>
    <w:p>
      <w:pPr>
        <w:spacing w:after="120" w:line="276"/>
      </w:pPr>
      <w:r>
        <w:t xml:space="preserve">This ideation document frames the problem and compares practical concepts for a ServiceNow-based Incident Lifecycle Automation solution. The objective is to establish an automated, SLA-governed workflow for incident intake, pre-categorization, contextual knowledge retrieval via Agent Assist, Level 2 escalation routing, Emergency Change Request integration, and parent-to-child ticket resolution cascading. The ideas below represent a structured design rationale based on project artifacts and ServiceNow ITSM best practices.</w:t>
      </w:r>
    </w:p>
    <w:p>
      <w:pPr>
        <w:pStyle w:val="Heading1"/>
        <w:keepNext/>
        <w:spacing w:after="140" w:before="320"/>
      </w:pPr>
      <w:r>
        <w:t xml:space="preserve">Step-1: Team Gathering, Collaboration and Problem Statement Selection</w:t>
      </w:r>
    </w:p>
    <w:p>
      <w:pPr>
        <w:pStyle w:val="Heading2"/>
        <w:keepNext/>
        <w:spacing w:after="100" w:before="220"/>
      </w:pPr>
      <w:r>
        <w:t xml:space="preserve">Problem Statement</w:t>
      </w:r>
    </w:p>
    <w:p>
      <w:pPr>
        <w:spacing w:after="120" w:line="276"/>
      </w:pPr>
      <w:r>
        <w:t xml:space="preserve">Service Desk teams and end-users lack a unified, automated mechanism to manage IT service disruptions (e.g., corporate VPN connectivity failures). When incidents are logged without structured categorization or CMDB mapping, assignment groups experience triage delays, resolution SLA timers breach, complex infrastructure defects remain disconnected from Change Requests, and resolution notes must be manually duplicated across multiple child tickets. This project proposes an automated Incident Lifecycle in ServiceNow utilizing Service Operations Workspace, Agent Assist knowledge recommendations, dynamic Priority calculation, Emergency Change linking with SLA pause mechanisms, and automated Parent-Child resolution cascading.</w:t>
      </w:r>
    </w:p>
    <w:p>
      <w:pPr>
        <w:pStyle w:val="Heading2"/>
        <w:keepNext/>
        <w:spacing w:after="100" w:before="220"/>
      </w:pPr>
      <w:r>
        <w:t xml:space="preserve">Stakeholders and Primary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Stakeholder</w:t>
            </w:r>
          </w:p>
        </w:tc>
        <w:tc>
          <w:tcPr>
            <w:tcW w:type="dxa" w:w="6638"/>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Primary Need</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Employee / End-User</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Easily report IT incidents, receive real-time updates via Watch List notifications, and track resolution progress on the portal.</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Service Desk Agent (L1 Support)</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Rapidly classify intake records, calculate priority automatically, leverage contextual knowledge, and escalate complex issues without manual friction.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Level 2 Specialist / Network Team (David Loo)</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Claim ticket ownership in Service Operations Workspace, attach resolution procedures, initiate Emergency Changes for underlying hardware (PowerEdge), and resolve parent tickets.</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Service Management Lead / Admin</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Enforce strict SLA adherence, audit complete activity logs, build reusable Knowledge Base assets, and package configurations into Update Sets.</w:t>
            </w:r>
          </w:p>
        </w:tc>
      </w:tr>
    </w:tbl>
    <w:p>
      <w:pPr>
        <w:pStyle w:val="Heading2"/>
        <w:keepNext/>
        <w:spacing w:after="100" w:before="220"/>
      </w:pPr>
      <w:r>
        <w:t xml:space="preserve">Solution Direction</w:t>
      </w:r>
    </w:p>
    <w:p>
      <w:pPr>
        <w:spacing w:after="120" w:line="276"/>
      </w:pPr>
      <w:r>
        <w:t xml:space="preserve">Implement Service Operations Workspace for unified intake; configure CMDB Service ("Remote Access") and Service Offering ("VPN Access") relationships; auto-calculate Priority via Impact x Urgency lookup rules; surface Agent Assist Knowledge Articles; automate Watch List updates (Samantha Bordwell, Beth Anglin) upon L2 reassignment; link Emergency Change Requests ("On Hold - Awaiting Change") to pause SLA timers; and automate resolution cascading from Parent to Child Incidents.</w:t>
      </w:r>
    </w:p>
    <w:p>
      <w:pPr>
        <w:pStyle w:val="Heading1"/>
        <w:keepNext/>
        <w:spacing w:after="140" w:before="320"/>
      </w:pPr>
      <w:r>
        <w:t xml:space="preserve">Step-2: Brainstorm, Idea Listing and Grouping</w:t>
      </w:r>
    </w:p>
    <w:p>
      <w:pPr>
        <w:spacing w:after="120" w:line="276"/>
      </w:pPr>
      <w:r>
        <w:t xml:space="preserve">The ideas below are grouped by the core stages of the incident automation lifecycle:</w:t>
      </w:r>
    </w:p>
    <w:p>
      <w:pPr>
        <w:pStyle w:val="Heading2"/>
        <w:keepNext/>
        <w:spacing w:after="100" w:before="220"/>
      </w:pPr>
      <w:r>
        <w:t xml:space="preserve">A. Incident Intake, CMDB &amp; Classification Quality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Idea</w:t>
            </w:r>
          </w:p>
        </w:tc>
        <w:tc>
          <w:tcPr>
            <w:tcW w:type="dxa" w:w="6638"/>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Description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Service Operations Workspace Intake</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Provide a modern, tabbed workspace layout for Service Desk agents to log and manage active incidents.</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Service Portfolio CMDB Linkage</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Map parent Service (</w:t>
            </w:r>
            <w:r>
              <w:rPr>
                <w:rFonts w:ascii="Consolas" w:cs="Consolas" w:eastAsia="Consolas" w:hAnsi="Consolas"/>
                <w:sz w:val="20"/>
                <w:szCs w:val="20"/>
              </w:rPr>
              <w:t xml:space="preserve">cmdb_ci_service</w:t>
            </w:r>
            <w:r>
              <w:rPr>
                <w:sz w:val="20"/>
                <w:szCs w:val="20"/>
              </w:rPr>
              <w:t xml:space="preserve">) "Remote Access" and child Service Offering (</w:t>
            </w:r>
            <w:r>
              <w:rPr>
                <w:rFonts w:ascii="Consolas" w:cs="Consolas" w:eastAsia="Consolas" w:hAnsi="Consolas"/>
                <w:sz w:val="20"/>
                <w:szCs w:val="20"/>
              </w:rPr>
              <w:t xml:space="preserve">service_offering</w:t>
            </w:r>
            <w:r>
              <w:rPr>
                <w:sz w:val="20"/>
                <w:szCs w:val="20"/>
              </w:rPr>
              <w:t xml:space="preserve">) "VPN Access" to establish service dependency context.</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Dynamic Priority Calculation</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Enforce standard Data Lookup rules where Impact (1-3) and Urgency (1-3) automatically compute the resulting Priority (1-Critical to 4-Low).</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Mandatory Context Capture</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Enforce required fields for Caller, Short Description, Category, Subcategory, and Configuration Item (CI) before saving.</w:t>
            </w:r>
          </w:p>
        </w:tc>
      </w:tr>
    </w:tbl>
    <w:p>
      <w:pPr>
        <w:pStyle w:val="Heading2"/>
        <w:keepNext/>
        <w:spacing w:after="100" w:before="220"/>
      </w:pPr>
      <w:r>
        <w:t xml:space="preserve">B. Contextual Knowledge &amp; L2 Escalation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Idea</w:t>
            </w:r>
          </w:p>
        </w:tc>
        <w:tc>
          <w:tcPr>
            <w:tcW w:type="dxa" w:w="6638"/>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Description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Agent Assist Integration</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Dynamically surface relevant Knowledge Articles in the Service Operations Workspace side panel based on incident short description keywords.</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Knowledge Article Attachment</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Enable 1-click "Mark as Helpful" and "Attach Article" actions to link resolution guides directly to the incident record.</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Automated Stakeholder Watch List</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Automatically add key stakeholders (e.g., Samantha Bordwell to Watch List, Beth Anglin to Work Notes List) upon ticket escalation.</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Level 2 Reassignment Routing</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Route escalated network incidents directly to Tier 2 Support / Network Assignment Group for specialist assignment.</w:t>
            </w:r>
          </w:p>
        </w:tc>
      </w:tr>
    </w:tbl>
    <w:p>
      <w:pPr>
        <w:pStyle w:val="Heading2"/>
        <w:keepNext/>
        <w:spacing w:after="100" w:before="220"/>
      </w:pPr>
      <w:r>
        <w:t xml:space="preserve">C. Emergency Change &amp; Child Ticket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Idea</w:t>
            </w:r>
          </w:p>
        </w:tc>
        <w:tc>
          <w:tcPr>
            <w:tcW w:type="dxa" w:w="6638"/>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Description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Configuration Item Remediation</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Update Configuration Item from endpoint workstation (ThickStation) to core infrastructure (PowerEdge server) upon detecting root cause.</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Emergency Change Request Linkage</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Generate or link an Emergency Change Request directly under Related Records when infrastructure modifications are required.</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SLA Pause State ('On Hold')</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Automatically pause Resolution Task SLA timers by setting State = "On Hold" with On Hold Reason = "Awaiting Change".</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Parent-Child Incident Linking</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Relate multiple user outage reports ("Unable to connect to Corporate VPN") as Child Incidents under a single Parent Incident record.</w:t>
            </w:r>
          </w:p>
        </w:tc>
      </w:tr>
    </w:tbl>
    <w:p>
      <w:pPr>
        <w:pStyle w:val="Heading2"/>
        <w:keepNext/>
        <w:spacing w:after="100" w:before="220"/>
      </w:pPr>
      <w:r>
        <w:t xml:space="preserve">D. Resolution, Knowledge Creation &amp; Governance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Idea</w:t>
            </w:r>
          </w:p>
        </w:tc>
        <w:tc>
          <w:tcPr>
            <w:tcW w:type="dxa" w:w="6638"/>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Description</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Automated Child Resolution Cascade</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Automatically propagate parent incident State = "Resolved", Resolution Code ("Solution Provided"), and Resolution Notes to all linked child tickets.</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1-Click Knowledge Article Generation</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Provide a "Create Knowledge" form action on resolved incidents to automatically draft standard KB articles in the "IT" Knowledge Base.</w:t>
            </w:r>
          </w:p>
        </w:tc>
      </w:tr>
      <w:tr>
        <w:trPr>
          <w:cantSplit/>
        </w:trPr>
        <w:tc>
          <w:tcPr>
            <w:tcW w:type="dxa" w:w="30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End-to-End Activity Audit Stream</w:t>
            </w:r>
          </w:p>
        </w:tc>
        <w:tc>
          <w:tcPr>
            <w:tcW w:type="dxa" w:w="66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Maintain an immutable, chronological activity log recording all assignment changes, state transitions, work notes, and SLA stops.</w:t>
            </w:r>
          </w:p>
        </w:tc>
      </w:tr>
      <w:tr>
        <w:trPr>
          <w:cantSplit/>
        </w:trPr>
        <w:tc>
          <w:tcPr>
            <w:tcW w:type="dxa" w:w="30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Update Set Packaging</w:t>
            </w:r>
          </w:p>
        </w:tc>
        <w:tc>
          <w:tcPr>
            <w:tcW w:type="dxa" w:w="66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Package all workspace views, data lookup rules, flow actions, and form layouts into a portable Update Set (</w:t>
            </w:r>
            <w:r>
              <w:rPr>
                <w:rFonts w:ascii="Consolas" w:cs="Consolas" w:eastAsia="Consolas" w:hAnsi="Consolas"/>
                <w:sz w:val="20"/>
                <w:szCs w:val="20"/>
              </w:rPr>
              <w:t xml:space="preserve">Incident_Lifecycle_Automation_v1</w:t>
            </w:r>
            <w:r>
              <w:rPr>
                <w:sz w:val="20"/>
                <w:szCs w:val="20"/>
              </w:rPr>
              <w:t xml:space="preserve">).</w:t>
            </w:r>
          </w:p>
        </w:tc>
      </w:tr>
    </w:tbl>
    <w:p>
      <w:pPr>
        <w:pStyle w:val="Heading1"/>
        <w:keepNext/>
        <w:spacing w:after="140" w:before="320"/>
      </w:pPr>
      <w:r>
        <w:t xml:space="preserve">Step-3: Idea Prioritization</w:t>
      </w:r>
    </w:p>
    <w:p>
      <w:pPr>
        <w:spacing w:after="120" w:line="276"/>
      </w:pPr>
      <w:r>
        <w:t xml:space="preserve">Prioritization is qualitative based on business impact, technical necessity, and operational value within the ServiceNow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1300"/>
        <w:gridCol w:w="3538"/>
      </w:tblGrid>
      <w:tr>
        <w:trPr>
          <w:tblHeader/>
        </w:trPr>
        <w:tc>
          <w:tcPr>
            <w:tcW w:type="dxa" w:w="1500"/>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Priority</w:t>
            </w:r>
          </w:p>
        </w:tc>
        <w:tc>
          <w:tcPr>
            <w:tcW w:type="dxa" w:w="3300"/>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Idea / Capability</w:t>
            </w:r>
          </w:p>
        </w:tc>
        <w:tc>
          <w:tcPr>
            <w:tcW w:type="dxa" w:w="1300"/>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Impact</w:t>
            </w:r>
          </w:p>
        </w:tc>
        <w:tc>
          <w:tcPr>
            <w:tcW w:type="dxa" w:w="3538"/>
            <w:tcBorders>
              <w:top w:val="single" w:color="000000" w:sz="4"/>
              <w:left w:val="single" w:color="000000" w:sz="4"/>
              <w:bottom w:val="single" w:color="000000" w:sz="4"/>
              <w:right w:val="single" w:color="000000" w:sz="4"/>
            </w:tcBorders>
            <w:shd w:fill="000000" w:color="auto" w:val="clear"/>
            <w:tcMar>
              <w:top w:type="dxa" w:w="70"/>
              <w:left w:type="dxa" w:w="110"/>
              <w:bottom w:type="dxa" w:w="70"/>
              <w:right w:type="dxa" w:w="110"/>
            </w:tcMar>
          </w:tcPr>
          <w:p>
            <w:pPr>
              <w:spacing w:after="0"/>
            </w:pPr>
            <w:r>
              <w:rPr>
                <w:b/>
                <w:bCs/>
                <w:color w:val="FFFFFF"/>
                <w:sz w:val="20"/>
                <w:szCs w:val="20"/>
              </w:rPr>
              <w:t xml:space="preserve">Rationale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1 — Essential</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Workspace Intake &amp; CMDB Service Portfolio Linkage</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High</w:t>
            </w:r>
          </w:p>
        </w:tc>
        <w:tc>
          <w:tcPr>
            <w:tcW w:type="dxa" w:w="35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Establishes core incident data architecture and CI dependency context.</w:t>
            </w:r>
          </w:p>
        </w:tc>
      </w:tr>
      <w:tr>
        <w:trPr>
          <w:cantSplit/>
        </w:trPr>
        <w:tc>
          <w:tcPr>
            <w:tcW w:type="dxa" w:w="15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1 — Essential</w:t>
            </w:r>
          </w:p>
        </w:tc>
        <w:tc>
          <w:tcPr>
            <w:tcW w:type="dxa" w:w="33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Dynamic Priority Auto-Calculation (Impact x Urgency)</w:t>
            </w:r>
          </w:p>
        </w:tc>
        <w:tc>
          <w:tcPr>
            <w:tcW w:type="dxa" w:w="13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High</w:t>
            </w:r>
          </w:p>
        </w:tc>
        <w:tc>
          <w:tcPr>
            <w:tcW w:type="dxa" w:w="35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Enforces consistent SLA targets and eliminates manual priority overrides.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1 — Essential</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Level 2 Reassignment &amp; Watch List Notifications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High</w:t>
            </w:r>
          </w:p>
        </w:tc>
        <w:tc>
          <w:tcPr>
            <w:tcW w:type="dxa" w:w="35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Ensures rapid escalation to specialized teams while keeping stakeholders informed.</w:t>
            </w:r>
          </w:p>
        </w:tc>
      </w:tr>
      <w:tr>
        <w:trPr>
          <w:cantSplit/>
        </w:trPr>
        <w:tc>
          <w:tcPr>
            <w:tcW w:type="dxa" w:w="15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1 — Essential</w:t>
            </w:r>
          </w:p>
        </w:tc>
        <w:tc>
          <w:tcPr>
            <w:tcW w:type="dxa" w:w="33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Emergency Change Linkage &amp; SLA Pause ('On Hold')</w:t>
            </w:r>
          </w:p>
        </w:tc>
        <w:tc>
          <w:tcPr>
            <w:tcW w:type="dxa" w:w="13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High</w:t>
            </w:r>
          </w:p>
        </w:tc>
        <w:tc>
          <w:tcPr>
            <w:tcW w:type="dxa" w:w="35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Protects SLA integrity during infrastructure repairs and tracks change dependencies.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1 — Essential</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Automated Parent-to-Child Resolution Cascading</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High</w:t>
            </w:r>
          </w:p>
        </w:tc>
        <w:tc>
          <w:tcPr>
            <w:tcW w:type="dxa" w:w="35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Eliminates administrative duplication and ensures multi-user outage consistency.</w:t>
            </w:r>
          </w:p>
        </w:tc>
      </w:tr>
      <w:tr>
        <w:trPr>
          <w:cantSplit/>
        </w:trPr>
        <w:tc>
          <w:tcPr>
            <w:tcW w:type="dxa" w:w="15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2 — High Value</w:t>
            </w:r>
          </w:p>
        </w:tc>
        <w:tc>
          <w:tcPr>
            <w:tcW w:type="dxa" w:w="33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Agent Assist Contextual Knowledge Integration</w:t>
            </w:r>
          </w:p>
        </w:tc>
        <w:tc>
          <w:tcPr>
            <w:tcW w:type="dxa" w:w="13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Medium–High</w:t>
            </w:r>
          </w:p>
        </w:tc>
        <w:tc>
          <w:tcPr>
            <w:tcW w:type="dxa" w:w="35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Accelerates MTTR by delivering standard operating procedures directly to agents.</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2 — High Value</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1-Click Knowledge Creation from Resolved Incidents</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Medium–High</w:t>
            </w:r>
          </w:p>
        </w:tc>
        <w:tc>
          <w:tcPr>
            <w:tcW w:type="dxa" w:w="35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Builds reusable organizational intelligence directly from incident resolution notes.</w:t>
            </w:r>
          </w:p>
        </w:tc>
      </w:tr>
      <w:tr>
        <w:trPr>
          <w:cantSplit/>
        </w:trPr>
        <w:tc>
          <w:tcPr>
            <w:tcW w:type="dxa" w:w="15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b/>
                <w:bCs/>
                <w:sz w:val="20"/>
                <w:szCs w:val="20"/>
              </w:rPr>
              <w:t xml:space="preserve">3 — Supporting</w:t>
            </w:r>
          </w:p>
        </w:tc>
        <w:tc>
          <w:tcPr>
            <w:tcW w:type="dxa" w:w="33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Activity Stream Audit Logging &amp; Task SLA Verifications</w:t>
            </w:r>
          </w:p>
        </w:tc>
        <w:tc>
          <w:tcPr>
            <w:tcW w:type="dxa" w:w="1300"/>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Medium</w:t>
            </w:r>
          </w:p>
        </w:tc>
        <w:tc>
          <w:tcPr>
            <w:tcW w:type="dxa" w:w="3538"/>
            <w:tcBorders>
              <w:top w:val="single" w:color="000000" w:sz="4"/>
              <w:left w:val="single" w:color="000000" w:sz="4"/>
              <w:bottom w:val="single" w:color="000000" w:sz="4"/>
              <w:right w:val="single" w:color="000000" w:sz="4"/>
            </w:tcBorders>
            <w:shd w:fill="F5F5F5" w:color="auto" w:val="clear"/>
            <w:tcMar>
              <w:top w:type="dxa" w:w="70"/>
              <w:left w:type="dxa" w:w="110"/>
              <w:bottom w:type="dxa" w:w="70"/>
              <w:right w:type="dxa" w:w="110"/>
            </w:tcMar>
          </w:tcPr>
          <w:p>
            <w:pPr>
              <w:spacing w:after="0"/>
            </w:pPr>
            <w:r>
              <w:rPr>
                <w:sz w:val="20"/>
                <w:szCs w:val="20"/>
              </w:rPr>
              <w:t xml:space="preserve">Provides complete historical auditability for governance and compliance.</w:t>
            </w:r>
          </w:p>
        </w:tc>
      </w:tr>
      <w:tr>
        <w:trPr>
          <w:cantSplit/>
        </w:trPr>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b/>
                <w:bCs/>
                <w:sz w:val="20"/>
                <w:szCs w:val="20"/>
              </w:rPr>
              <w:t xml:space="preserve">3 — Supporting</w:t>
            </w:r>
          </w:p>
        </w:tc>
        <w:tc>
          <w:tcPr>
            <w:tcW w:type="dxa" w:w="3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Update Set Packaging (</w:t>
            </w:r>
            <w:r>
              <w:rPr>
                <w:rFonts w:ascii="Consolas" w:cs="Consolas" w:eastAsia="Consolas" w:hAnsi="Consolas"/>
                <w:sz w:val="20"/>
                <w:szCs w:val="20"/>
              </w:rPr>
              <w:t xml:space="preserve">Incident_Lifecycle_Automation_v1</w:t>
            </w:r>
            <w:r>
              <w:rPr>
                <w:sz w:val="20"/>
                <w:szCs w:val="20"/>
              </w:rPr>
              <w:t xml:space="preserve">)</w:t>
            </w:r>
          </w:p>
        </w:tc>
        <w:tc>
          <w:tcPr>
            <w:tcW w:type="dxa" w:w="1300"/>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Medium</w:t>
            </w:r>
          </w:p>
        </w:tc>
        <w:tc>
          <w:tcPr>
            <w:tcW w:type="dxa" w:w="3538"/>
            <w:tcBorders>
              <w:top w:val="single" w:color="000000" w:sz="4"/>
              <w:left w:val="single" w:color="000000" w:sz="4"/>
              <w:bottom w:val="single" w:color="000000" w:sz="4"/>
              <w:right w:val="single" w:color="000000" w:sz="4"/>
            </w:tcBorders>
            <w:tcMar>
              <w:top w:type="dxa" w:w="70"/>
              <w:left w:type="dxa" w:w="110"/>
              <w:bottom w:type="dxa" w:w="70"/>
              <w:right w:type="dxa" w:w="110"/>
            </w:tcMar>
          </w:tcPr>
          <w:p>
            <w:pPr>
              <w:spacing w:after="0"/>
            </w:pPr>
            <w:r>
              <w:rPr>
                <w:sz w:val="20"/>
                <w:szCs w:val="20"/>
              </w:rPr>
              <w:t xml:space="preserve">Enables seamless promotion of configurations across ServiceNow non-prod instances.</w:t>
            </w:r>
          </w:p>
        </w:tc>
      </w:tr>
    </w:tbl>
    <w:p>
      <w:pPr>
        <w:pStyle w:val="Heading1"/>
        <w:keepNext/>
        <w:spacing w:after="140" w:before="320"/>
      </w:pPr>
      <w:r>
        <w:t xml:space="preserve">Recommended Implementation Order</w:t>
      </w:r>
    </w:p>
    <w:p>
      <w:pPr>
        <w:pStyle w:val="ListParagraph"/>
        <w:numPr>
          <w:ilvl w:val="0"/>
          <w:numId w:val="2"/>
        </w:numPr>
        <w:spacing w:after="80"/>
      </w:pPr>
      <w:r>
        <w:rPr>
          <w:b/>
          <w:bCs/>
        </w:rPr>
        <w:t xml:space="preserve">CMDB &amp; Intake Setup:</w:t>
      </w:r>
      <w:r>
        <w:t xml:space="preserve"> Create 'Remote Access' service, 'VPN Access' offering, and configure intake form validation.</w:t>
      </w:r>
    </w:p>
    <w:p>
      <w:pPr>
        <w:pStyle w:val="ListParagraph"/>
        <w:numPr>
          <w:ilvl w:val="0"/>
          <w:numId w:val="2"/>
        </w:numPr>
        <w:spacing w:after="80"/>
      </w:pPr>
      <w:r>
        <w:rPr>
          <w:b/>
          <w:bCs/>
        </w:rPr>
        <w:t xml:space="preserve">Classification &amp; Escalation Rules:</w:t>
      </w:r>
      <w:r>
        <w:t xml:space="preserve"> Configure Priority Data Lookup rules, Watch List notifications, and L2 Network group reassignment.</w:t>
      </w:r>
    </w:p>
    <w:p>
      <w:pPr>
        <w:pStyle w:val="ListParagraph"/>
        <w:numPr>
          <w:ilvl w:val="0"/>
          <w:numId w:val="2"/>
        </w:numPr>
        <w:spacing w:after="80"/>
      </w:pPr>
      <w:r>
        <w:rPr>
          <w:b/>
          <w:bCs/>
        </w:rPr>
        <w:t xml:space="preserve">Workspace &amp; Agent Assist:</w:t>
      </w:r>
      <w:r>
        <w:t xml:space="preserve"> Enable Agent Assist side panel in Service Operations Workspace and test KB article attachment.</w:t>
      </w:r>
    </w:p>
    <w:p>
      <w:pPr>
        <w:pStyle w:val="ListParagraph"/>
        <w:numPr>
          <w:ilvl w:val="0"/>
          <w:numId w:val="2"/>
        </w:numPr>
        <w:spacing w:after="80"/>
      </w:pPr>
      <w:r>
        <w:rPr>
          <w:b/>
          <w:bCs/>
        </w:rPr>
        <w:t xml:space="preserve">Change &amp; Child Ticket Integration:</w:t>
      </w:r>
      <w:r>
        <w:t xml:space="preserve"> Configure 'On Hold - Awaiting Change' state logic, Emergency Change linkages, and Parent-Child resolution cascading.</w:t>
      </w:r>
    </w:p>
    <w:p>
      <w:pPr>
        <w:pStyle w:val="ListParagraph"/>
        <w:numPr>
          <w:ilvl w:val="0"/>
          <w:numId w:val="2"/>
        </w:numPr>
        <w:spacing w:after="80"/>
      </w:pPr>
      <w:r>
        <w:rPr>
          <w:b/>
          <w:bCs/>
        </w:rPr>
        <w:t xml:space="preserve">Knowledge Creation &amp; Packaging:</w:t>
      </w:r>
      <w:r>
        <w:t xml:space="preserve"> Configure 'Create Knowledge' form actions and export completed configuration as an Update Set.</w:t>
      </w:r>
    </w:p>
    <w:p>
      <w:pPr>
        <w:pStyle w:val="Heading1"/>
        <w:keepNext/>
        <w:spacing w:after="140" w:before="320"/>
      </w:pPr>
      <w:r>
        <w:t xml:space="preserve">Success Criteria for Verification Testing</w:t>
      </w:r>
    </w:p>
    <w:p>
      <w:pPr>
        <w:pStyle w:val="ListParagraph"/>
        <w:numPr>
          <w:ilvl w:val="0"/>
          <w:numId w:val="3"/>
        </w:numPr>
        <w:spacing w:after="80"/>
      </w:pPr>
      <w:r>
        <w:t xml:space="preserve">A logged incident populates Service/Offering references and auto-calculates Priority based on Impact and Urgency.</w:t>
      </w:r>
    </w:p>
    <w:p>
      <w:pPr>
        <w:pStyle w:val="ListParagraph"/>
        <w:numPr>
          <w:ilvl w:val="0"/>
          <w:numId w:val="3"/>
        </w:numPr>
        <w:spacing w:after="80"/>
      </w:pPr>
      <w:r>
        <w:t xml:space="preserve">Reassigning an incident to L2 Network Support adds stakeholders to the Watch List and updates assignment ownership.</w:t>
      </w:r>
    </w:p>
    <w:p>
      <w:pPr>
        <w:pStyle w:val="ListParagraph"/>
        <w:numPr>
          <w:ilvl w:val="0"/>
          <w:numId w:val="3"/>
        </w:numPr>
        <w:spacing w:after="80"/>
      </w:pPr>
      <w:r>
        <w:t xml:space="preserve">Linking an Emergency Change and setting State = "On Hold (Awaiting Change)" successfully pauses Task SLA timers.</w:t>
      </w:r>
    </w:p>
    <w:p>
      <w:pPr>
        <w:pStyle w:val="ListParagraph"/>
        <w:numPr>
          <w:ilvl w:val="0"/>
          <w:numId w:val="3"/>
        </w:numPr>
        <w:spacing w:after="80"/>
      </w:pPr>
      <w:r>
        <w:t xml:space="preserve">Resolving a Parent Incident automatically resolves all linked Child Incidents and records the resolution notes across all child activity streams.</w:t>
      </w:r>
    </w:p>
    <w:p>
      <w:pPr>
        <w:pStyle w:val="ListParagraph"/>
        <w:numPr>
          <w:ilvl w:val="0"/>
          <w:numId w:val="3"/>
        </w:numPr>
        <w:spacing w:after="80"/>
      </w:pPr>
      <w:r>
        <w:t xml:space="preserve">Clicking "Create Knowledge" on a resolved incident successfully generates a draft KB article under the "IT" Knowledge Base.</w:t>
      </w:r>
    </w:p>
    <w:p>
      <w:pPr>
        <w:spacing w:after="80"/>
      </w:pPr>
    </w:p>
    <w:p>
      <w:pPr>
        <w:pBdr>
          <w:top w:val="single" w:color="000000" w:sz="6" w:space="6"/>
        </w:pBdr>
        <w:spacing w:before="120"/>
      </w:pPr>
      <w:r>
        <w:rPr>
          <w:i/>
          <w:iCs/>
          <w:color w:val="000000"/>
          <w:sz w:val="20"/>
          <w:szCs w:val="20"/>
        </w:rPr>
        <w:t xml:space="preserve">Evidence Note: Configuration screenshots, workspace layouts, Task SLA timers, and update-set XML exports support this design rationale.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000000"/>
        <w:sz w:val="18"/>
        <w:szCs w:val="18"/>
      </w:rPr>
      <w:t xml:space="preserve">Incident Lifecycle Automation in ServiceNow  |  Brainstorm &amp; Idea Prioritization  |  Page </w:t>
    </w:r>
    <w:r>
      <w:rPr>
        <w:color w:val="00000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00000"/>
      <w:sz w:val="30"/>
      <w:szCs w:val="30"/>
    </w:rPr>
  </w:style>
  <w:style w:type="paragraph" w:styleId="Heading2">
    <w:name w:val="Heading 2"/>
    <w:basedOn w:val="Normal"/>
    <w:next w:val="Normal"/>
    <w:qFormat/>
    <w:pPr>
      <w:outlineLvl w:val="1"/>
    </w:pPr>
    <w:rPr>
      <w:rFonts w:ascii="Calibri" w:cs="Calibri" w:eastAsia="Calibri" w:hAnsi="Calibri"/>
      <w:b/>
      <w:bCs/>
      <w:color w:val="000000"/>
      <w:sz w:val="25"/>
      <w:szCs w:val="25"/>
    </w:rPr>
  </w:style>
  <w:style w:type="paragraph" w:styleId="Heading3">
    <w:name w:val="Heading 3"/>
    <w:basedOn w:val="Normal"/>
    <w:next w:val="Normal"/>
    <w:qFormat/>
    <w:pPr>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2026-10-24T08:18:38.753Z</dcterms:created>
  <dcterms:modified xsi:type="dcterms:W3CDTF">2026-10-24T08:18:38.753Z</dcterms:modified>
</cp:coreProperties>
</file>

<file path=docProps/custom.xml><?xml version="1.0" encoding="utf-8"?>
<Properties xmlns="http://schemas.openxmlformats.org/officeDocument/2006/custom-properties" xmlns:vt="http://schemas.openxmlformats.org/officeDocument/2006/docPropsVTypes"/>
</file>