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3: Incident Record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3 configures incident record creation to log and track issues reported by users or detected within the IT environment. The record captures key attributes including Caller, Short Description, Service, Service Offering, Assignment Group, and Urgency to establish initial tracking, automated SLA trigger initiation, and lifecycle routing across the ServiceNow ITSM platform.</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160"/>
        <w:gridCol w:w="12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Intake &amp; Record Generation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Navigate to Service Operations Workspace or incident.LIST, click New, and populate core caller details.</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New Incident record generated with a unique system ID (e.g., INC00100XX).</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Caller &amp; Context Capture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 affected Caller (e.g., System User/Employee) and enter detailed Short Description summarizing the issue.</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Caller and Short Description populated on the Incident form.</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&amp; Offering Association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Link the incident to Service = "Remote Access" and Service Offering = "VPN Access" created in Phase 2.</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CMDB Service and Service Offering fields correctly populated.</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Assignment &amp; Status Initialization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Assign to initial support group (e.g., L1 Support) with State set to "New" to trigger SLA timers.</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record in "New" state assigned to designated initial support group.</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Incident Management form (incident)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2026-10-24T06:51:03.641Z</dcterms:created>
  <dcterms:modified xsi:type="dcterms:W3CDTF">2026-10-24T06:51:03.650Z</dcterms:modified>
</cp:coreProperties>
</file>

<file path=docProps/custom.xml><?xml version="1.0" encoding="utf-8"?>
<Properties xmlns="http://schemas.openxmlformats.org/officeDocument/2006/custom-properties" xmlns:vt="http://schemas.openxmlformats.org/officeDocument/2006/docPropsVTypes"/>
</file>