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pacing w:val="60"/>
          <w:sz w:val="24"/>
          <w:szCs w:val="24"/>
        </w:rPr>
        <w:t xml:space="preserve">PROJECT DESIGN PHASE-II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Solution Requirements (Functional &amp; Non-functional)</w:t>
      </w:r>
    </w:p>
    <w:p>
      <w:pPr>
        <w:pBdr>
          <w:bottom w:val="single" w:color="000000" w:sz="12" w:space="8"/>
        </w:pBdr>
        <w:spacing w:after="240"/>
        <w:jc w:val="center"/>
      </w:pPr>
      <w:r>
        <w:rPr>
          <w:i/>
          <w:iCs/>
          <w:sz w:val="24"/>
          <w:szCs w:val="24"/>
        </w:rPr>
        <w:t xml:space="preserve">Project Design Phase-II Verification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24-10-2026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ID / Participant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Yelaka Praharsha (324103312L45)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t xml:space="preserve">Functional Requirements</w:t>
      </w:r>
    </w:p>
    <w:p>
      <w:pPr>
        <w:spacing w:after="120" w:line="276"/>
      </w:pPr>
      <w:r>
        <w:t xml:space="preserve">The following table details the core functional requirements (Epics and User Stories/Sub-Tasks) governing the end-to-end Incident Lifecycle Automation workflow in ServiceNow: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738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Service Portfolio &amp; CMDB Mapping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Establish parent Service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cmdb_ci_service</w:t>
            </w:r>
            <w:r>
              <w:rPr>
                <w:sz w:val="20"/>
                <w:szCs w:val="20"/>
              </w:rPr>
              <w:t xml:space="preserve">) "Remote Access" and child Service Offering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service_offering</w:t>
            </w:r>
            <w:r>
              <w:rPr>
                <w:sz w:val="20"/>
                <w:szCs w:val="20"/>
              </w:rPr>
              <w:t xml:space="preserve">) "VPN Access" in the ServiceNow CMDB.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Ensure the Service and Service Offering fields on the incident form reflect true business service dependencies during incident intake.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Incident Intake &amp; Auto-Classification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 new incidents in Service Operations Workspace capturing Caller, Short Description, Category (Network), and Subcategory (VPN).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Enforce Data Lookup Rules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sys_data_lookup</w:t>
            </w:r>
            <w:r>
              <w:rPr>
                <w:sz w:val="20"/>
                <w:szCs w:val="20"/>
              </w:rPr>
              <w:t xml:space="preserve">) to dynamically auto-calculate Priority (1-Critical to 4-Low) based on Impact (1-3) and Urgency (1-3) selections.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Validate all mandatory form fields before record saving and system number generation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INC00100XX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Agent Assist Knowledge Integration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 Agent Assist in the Service Operations Workspace side panel to automatically search and display contextual Knowledge Articles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 1-click "Mark as Helpful" and "Attach Article" actions to link resolution guides directly to the active incident record.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Reassignment &amp; Stakeholder Escalation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 ticket reassignment to Level 2 Support / Network Assignment Group and specific technician assignment (David Loo).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Automatically populate the Watch List (Samantha Bordwell) and Work Notes List (Beth Anglin) to trigger outbound stakeholder notification emails upon L2 escalation.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Emergency Change &amp; SLA Pause Logic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Allow technicians to update the Configuration Item from endpoint workstation (ThickStation) to core infrastructure (PowerEdge server).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 Emergency Change Request linkage directly from the incident form under Related Records.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 setting State = "On Hold" with On Hold Reason = "Awaiting Change" to automatically pause Resolution Task SLA timers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Parent-Child Incident Management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 creating Child Incidents ("Unable to connect to Corporate VPN") linked to a single Parent Incident under the Related Records tab.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Maintain bidirectional traceability between parent and child tickets to manage multi-user outage impact under a unified root cause.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Automated Resolution &amp; Cascade Execution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root cause analysis on the Overview tab with Probable Cause ("PowerEdge service suspended and required restart").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Transition State to "Resolved", select Resolution Code ("Solution Provided"), and enter detailed Resolution Notes ("PowerEdge service restarted successfully").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Automatically halt Task SLA timers and cascade State = "Resolved", Resolution Code, and Resolution Notes to all linked Child Incidents.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Knowledge Article Generation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 a "Create Knowledge" form action on resolved incident records.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Auto-populate draft Knowledge Articles using the "Standard" template under the "IT" Knowledge Base directly from resolved incident work notes.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Non-functional Requirements</w:t>
      </w:r>
    </w:p>
    <w:p>
      <w:pPr>
        <w:spacing w:after="120" w:line="276"/>
      </w:pPr>
      <w:r>
        <w:t xml:space="preserve">The following table details the non-functional requirements (NFRs) ensuring platform security, reliability, performance, and maintainability: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738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 a modern, tabbed Service Operations Workspace (SOW) layout with clear field labels, tooltips, and an integrated Agent Assist side panel so agents can triage and resolve incidents with minimal cognitive friction.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Security &amp; Access Control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Enforce ServiceNow Role-Based Access Control (RBAC) and Access Control Lists (ACLs) ensuring that L1 agents, L2 specialists (David Loo), and approvers access only authorized workspace views, change linkages, and record actions.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Reliability &amp; Auditability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Maintain 100% data consistency across parent incident, child ticket, emergency change, and knowledge records; generate an immutable activity stream log for all field changes, reassignments, and state transitions.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Ensure workspace page loads, Priority Data Lookup auto-calculations, Agent Assist search queries, and Task SLA pause/stop actions execute within responsive platform thresholds (&lt;2 seconds per transaction under standard load).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 on the hosted ServiceNow platform instance availability SLA (99.9% uptime target), ensuring continuous access to incident management services across browser environments.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Scalability &amp; Portability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Utilize standard platform tables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change_request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  <w:r>
              <w:rPr>
                <w:sz w:val="20"/>
                <w:szCs w:val="20"/>
              </w:rPr>
              <w:t xml:space="preserve">) and Flow Designer/Data Lookup actions so additional services, SLA definitions, and assignment groups can scale seamlessly; package all configurations into portable Update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Incident_Lifecycle_Automation_v1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Requirement Note</w:t>
      </w:r>
    </w:p>
    <w:p>
      <w:pPr>
        <w:spacing w:after="120" w:line="276"/>
      </w:pPr>
      <w:r>
        <w:t xml:space="preserve">These requirements describe the target behavior for the Incident Lifecycle Automation solution in ServiceNow. Security controls, Priority matrix lookup rules, SLA pause conditions, and parent-child cascade scripts have been systematically validated across all 14 project development phases.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Incident Lifecycle Automation in ServiceNow  |  Solution Requirements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2026-10-24T08:33:30.617Z</dcterms:created>
  <dcterms:modified xsi:type="dcterms:W3CDTF">2026-10-24T08:33:30.627Z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