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B471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Theme="minorEastAsia"/>
          <w:sz w:val="21"/>
        </w:rPr>
      </w:pPr>
      <w:r>
        <w:rPr>
          <w:rFonts w:hint="eastAsia" w:ascii="Times New Roman" w:hAnsi="Times New Roman" w:eastAsiaTheme="minorEastAsia" w:cstheme="minorBidi"/>
          <w:kern w:val="2"/>
          <w:sz w:val="21"/>
          <w:szCs w:val="24"/>
          <w:lang w:val="en-US" w:eastAsia="zh-CN" w:bidi="ar-SA"/>
        </w:rPr>
        <w:t>口腔不仅是消化系统的起点，更是机体与外界环境交互的重要区域免疫界面。口腔菌群与宿主免疫系统之间维持着精密的动态平衡，这种平衡一旦被打破，不仅影响口腔局部健康，更可能波及全身代谢稳态。2型糖尿病（T2D）已被证实与口腔菌群失调及宿主炎症应答增强密切相关，然而两者是否存在协同关联，以及抗糖尿病药物能否调节口腔微生态，目前仍知之甚少。</w:t>
      </w:r>
    </w:p>
    <w:p w14:paraId="0AAB639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Theme="minorEastAsia"/>
          <w:sz w:val="21"/>
        </w:rPr>
      </w:pPr>
    </w:p>
    <w:p w14:paraId="7298EBD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Theme="minorEastAsia"/>
          <w:sz w:val="21"/>
          <w:lang w:eastAsia="zh-CN"/>
        </w:rPr>
      </w:pPr>
      <w:r>
        <w:rPr>
          <w:rFonts w:hint="eastAsia" w:ascii="Times New Roman" w:hAnsi="Times New Roman" w:eastAsiaTheme="minorEastAsia"/>
          <w:sz w:val="21"/>
        </w:rPr>
        <w:t>近日，四川大学华西口腔医学院陈谦明教授与李敬教授团队在《Oral Science and Homeostatic Medicine》发表研究论文"Semaglutide partially reshapes oral microbial dysbiosis and interferon-associated transcriptional programs in diabetic mice"。该研究以2型糖尿病db/db小鼠模型为研究对象，首次系统整合口腔微生物组与转录组数据，揭示了糖尿病状态下口腔菌群失调与宿主干扰素相关转录程序的协同改变，并探讨了司美格鲁肽干预对上述变化的影响。</w:t>
      </w:r>
    </w:p>
    <w:p w14:paraId="3DAEF6C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Theme="minorEastAsia"/>
          <w:sz w:val="21"/>
          <w:lang w:eastAsia="zh-CN"/>
        </w:rPr>
      </w:pPr>
      <w:r>
        <w:rPr>
          <w:rFonts w:hint="eastAsia" w:ascii="Times New Roman" w:hAnsi="Times New Roman" w:eastAsiaTheme="minorEastAsia"/>
          <w:sz w:val="21"/>
          <w:lang w:eastAsia="zh-CN"/>
        </w:rPr>
        <w:drawing>
          <wp:inline distT="0" distB="0" distL="114300" distR="114300">
            <wp:extent cx="4912360" cy="3220085"/>
            <wp:effectExtent l="0" t="0" r="2540" b="8890"/>
            <wp:docPr id="1" name="图片 1" descr="演示文稿1(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演示文稿1(1)_01"/>
                    <pic:cNvPicPr>
                      <a:picLocks noChangeAspect="1"/>
                    </pic:cNvPicPr>
                  </pic:nvPicPr>
                  <pic:blipFill>
                    <a:blip r:embed="rId4"/>
                    <a:srcRect l="3629" r="10550"/>
                    <a:stretch>
                      <a:fillRect/>
                    </a:stretch>
                  </pic:blipFill>
                  <pic:spPr>
                    <a:xfrm>
                      <a:off x="0" y="0"/>
                      <a:ext cx="4912360" cy="3220085"/>
                    </a:xfrm>
                    <a:prstGeom prst="rect">
                      <a:avLst/>
                    </a:prstGeom>
                  </pic:spPr>
                </pic:pic>
              </a:graphicData>
            </a:graphic>
          </wp:inline>
        </w:drawing>
      </w:r>
    </w:p>
    <w:p w14:paraId="16BACFF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Theme="minorEastAsia"/>
          <w:sz w:val="21"/>
        </w:rPr>
      </w:pPr>
    </w:p>
    <w:p w14:paraId="15D3817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研究团队采用16S rRNA测序与转录组测序技术，对野生型（WT）小鼠、db/db小鼠及司美格鲁肽治疗后的db/db小鼠口腔样本进行系统分析。在菌群层面，β多样性分析揭示WT组与db/db组之间存在显著的群落结构分离，失调指数在db/db小鼠中显著升高，经治疗后有所降低但未完全恢复。在转录组层面，研究团队识别出六个基因簇，其中第4簇富集了大量干扰素刺激基因（如</w:t>
      </w:r>
      <w:r>
        <w:rPr>
          <w:rFonts w:hint="eastAsia" w:ascii="Times New Roman" w:hAnsi="Times New Roman" w:eastAsiaTheme="minorEastAsia" w:cstheme="minorBidi"/>
          <w:i/>
          <w:iCs/>
          <w:kern w:val="2"/>
          <w:sz w:val="21"/>
          <w:szCs w:val="24"/>
          <w:lang w:val="en-US" w:eastAsia="zh-CN" w:bidi="ar-SA"/>
        </w:rPr>
        <w:t>Ifit1、Ifi44、Oas1g</w:t>
      </w:r>
      <w:r>
        <w:rPr>
          <w:rFonts w:hint="eastAsia" w:ascii="Times New Roman" w:hAnsi="Times New Roman" w:eastAsiaTheme="minorEastAsia" w:cstheme="minorBidi"/>
          <w:kern w:val="2"/>
          <w:sz w:val="21"/>
          <w:szCs w:val="24"/>
          <w:lang w:val="en-US" w:eastAsia="zh-CN" w:bidi="ar-SA"/>
        </w:rPr>
        <w:t>等），在db/db小鼠中显著上调，治疗后部分回归WT状态。富集分析证实，上述基因簇显著涉及干扰素应答与抗病毒反应通路，提示糖尿病状态下口腔局部存在持续激活的固有免疫信号，而司美格鲁肽干预与这一免疫程序的部分重塑密切相关。</w:t>
      </w:r>
    </w:p>
    <w:p w14:paraId="2554F18E">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Theme="minorEastAsia" w:cstheme="minorBidi"/>
          <w:kern w:val="2"/>
          <w:sz w:val="21"/>
          <w:szCs w:val="24"/>
          <w:lang w:val="en-US" w:eastAsia="zh-CN" w:bidi="ar-SA"/>
        </w:rPr>
      </w:pPr>
    </w:p>
    <w:p w14:paraId="375EEA7F">
      <w:pPr>
        <w:keepNext w:val="0"/>
        <w:keepLines w:val="0"/>
        <w:pageBreakBefore w:val="0"/>
        <w:widowControl w:val="0"/>
        <w:kinsoku/>
        <w:wordWrap/>
        <w:overflowPunct/>
        <w:topLinePunct w:val="0"/>
        <w:autoSpaceDE/>
        <w:autoSpaceDN/>
        <w:bidi w:val="0"/>
        <w:adjustRightInd/>
        <w:snapToGrid/>
        <w:spacing w:line="300" w:lineRule="auto"/>
        <w:ind w:left="0" w:leftChars="0"/>
        <w:jc w:val="both"/>
        <w:textAlignment w:val="auto"/>
        <w:rPr>
          <w:rFonts w:hint="eastAsia" w:ascii="Times New Roman" w:hAnsi="Times New Roman" w:eastAsiaTheme="minorEastAsia" w:cstheme="minorBidi"/>
          <w:kern w:val="2"/>
          <w:sz w:val="21"/>
          <w:szCs w:val="24"/>
          <w:lang w:val="en-US" w:eastAsia="zh-CN" w:bidi="ar-SA"/>
        </w:rPr>
      </w:pPr>
      <w:r>
        <w:rPr>
          <w:rFonts w:hint="eastAsia" w:ascii="Times New Roman" w:hAnsi="Times New Roman" w:eastAsiaTheme="minorEastAsia" w:cstheme="minorBidi"/>
          <w:kern w:val="2"/>
          <w:sz w:val="21"/>
          <w:szCs w:val="24"/>
          <w:lang w:val="en-US" w:eastAsia="zh-CN" w:bidi="ar-SA"/>
        </w:rPr>
        <w:t>研究团队进一步构建了宿主基因与细菌属之间的双边关联网络，发现转录簇相关基因与Corynebacterium、Streptococcus、Pseudomonas等菌属存在显著关联。相关分析显示，第2簇特征基因表达向量与失调指数呈显著正相关，第4簇则呈显著负相关，揭示了不同转录模块与菌群失调之间不同的耦合关系。司美格鲁肽治疗后，宿主–微生物互作网络结构出现部分重组，进一步支持了药物干预对宿主–微生物协同轴的调节作用。</w:t>
      </w:r>
    </w:p>
    <w:p w14:paraId="6E7D6216">
      <w:pPr>
        <w:keepNext w:val="0"/>
        <w:keepLines w:val="0"/>
        <w:pageBreakBefore w:val="0"/>
        <w:widowControl w:val="0"/>
        <w:kinsoku/>
        <w:wordWrap/>
        <w:overflowPunct/>
        <w:topLinePunct w:val="0"/>
        <w:autoSpaceDE/>
        <w:autoSpaceDN/>
        <w:bidi w:val="0"/>
        <w:adjustRightInd/>
        <w:snapToGrid/>
        <w:spacing w:line="300" w:lineRule="auto"/>
        <w:ind w:left="0" w:leftChars="0"/>
        <w:jc w:val="both"/>
        <w:textAlignment w:val="auto"/>
        <w:rPr>
          <w:rFonts w:hint="eastAsia" w:ascii="Times New Roman" w:hAnsi="Times New Roman" w:eastAsiaTheme="minorEastAsia" w:cstheme="minorBidi"/>
          <w:kern w:val="2"/>
          <w:sz w:val="21"/>
          <w:szCs w:val="24"/>
          <w:lang w:val="en-US" w:eastAsia="zh-CN" w:bidi="ar-SA"/>
        </w:rPr>
      </w:pPr>
    </w:p>
    <w:p w14:paraId="7E49377F">
      <w:pPr>
        <w:keepNext w:val="0"/>
        <w:keepLines w:val="0"/>
        <w:pageBreakBefore w:val="0"/>
        <w:widowControl w:val="0"/>
        <w:kinsoku/>
        <w:wordWrap/>
        <w:overflowPunct/>
        <w:topLinePunct w:val="0"/>
        <w:autoSpaceDE/>
        <w:autoSpaceDN/>
        <w:bidi w:val="0"/>
        <w:adjustRightInd/>
        <w:snapToGrid/>
        <w:spacing w:line="300" w:lineRule="auto"/>
        <w:ind w:left="0" w:leftChars="0"/>
        <w:jc w:val="both"/>
        <w:textAlignment w:val="auto"/>
        <w:rPr>
          <w:rFonts w:hint="eastAsia" w:ascii="Times New Roman" w:hAnsi="Times New Roman" w:eastAsiaTheme="minorEastAsia"/>
          <w:sz w:val="21"/>
        </w:rPr>
      </w:pPr>
      <w:r>
        <w:rPr>
          <w:rFonts w:hint="eastAsia" w:ascii="Times New Roman" w:hAnsi="Times New Roman" w:eastAsiaTheme="minorEastAsia" w:cstheme="minorBidi"/>
          <w:kern w:val="2"/>
          <w:sz w:val="21"/>
          <w:szCs w:val="24"/>
          <w:lang w:val="en-US" w:eastAsia="zh-CN" w:bidi="ar-SA"/>
        </w:rPr>
        <w:t>综上，该研究证实2型糖尿病与口腔菌群组成及宿主干扰素相关转录程序的协同改变密切相关，司美格鲁肽治疗能够部分重塑上述特征。这些发现提示，长期接受司美格鲁肽治疗的患者，其口腔微生态平衡值得临床予以关注，未来研究需进一步阐明相关变化的功能意义，为口腔与全身健康的整合管理提供循证依据。</w:t>
      </w:r>
      <w:bookmarkStart w:id="0" w:name="_GoBack"/>
      <w:bookmarkEnd w:id="0"/>
    </w:p>
    <w:p w14:paraId="6E6355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Theme="minorEastAsia"/>
          <w:sz w:val="21"/>
        </w:rPr>
      </w:pPr>
    </w:p>
    <w:p w14:paraId="2F2CF56E">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Theme="minorEastAsia"/>
          <w:sz w:val="21"/>
        </w:rPr>
      </w:pPr>
      <w:r>
        <w:rPr>
          <w:rFonts w:hint="eastAsia" w:ascii="Times New Roman" w:hAnsi="Times New Roman" w:eastAsiaTheme="minorEastAsia"/>
          <w:sz w:val="21"/>
        </w:rPr>
        <w:t>四川大学华西口腔医学院李敬教授与陈谦明教授为该论文的共同通讯作者，四川大学华西口腔医学院王影与叶林为该论文的共同第一作者。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DC5F29"/>
    <w:rsid w:val="48F56350"/>
    <w:rsid w:val="75B21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1344</Words>
  <Characters>1635</Characters>
  <Lines>0</Lines>
  <Paragraphs>0</Paragraphs>
  <TotalTime>14</TotalTime>
  <ScaleCrop>false</ScaleCrop>
  <LinksUpToDate>false</LinksUpToDate>
  <CharactersWithSpaces>1661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2026-05-28T06:26:00Z</dcterms:created>
  <dc:creator>18130</dc:creator>
  <cp:lastModifiedBy>1＆0</cp:lastModifiedBy>
  <dcterms:modified xsi:type="dcterms:W3CDTF">2026-05-28T06:44:17Z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eyJoZGlkIjoiMzExM2Q3MGQ4NjY2ZTU5ZTZhODczZjFmNWFjZDc4ZjMiLCJ1c2VySWQiOiIzODA5OTc1NjYifQ==</vt:lpwstr>
  </property>
  <property fmtid="{D5CDD505-2E9C-101B-9397-08002B2CF9AE}" pid="4" name="ICV">
    <vt:lpwstr>C8FA2401E73E464883BF27633DC3FAE2_12</vt:lpwstr>
  </property>
</Properties>
</file>