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686E9">
      <w:pPr>
        <w:jc w:val="both"/>
        <w:rPr>
          <w:rFonts w:ascii="Times New Roman" w:hAnsi="Times New Roman" w:cs="Times New Roman"/>
          <w:b/>
          <w:bCs/>
        </w:rPr>
      </w:pPr>
      <w:r>
        <w:rPr>
          <w:rFonts w:ascii="Times New Roman" w:hAnsi="Times New Roman" w:cs="Times New Roman"/>
          <w:b/>
          <w:bCs/>
        </w:rPr>
        <w:t>Semaglutide partially reshapes oral microbial dysbiosis and interferon-associated transcriptional programs in diabetic mice</w:t>
      </w:r>
    </w:p>
    <w:p w14:paraId="6F3255EF">
      <w:pPr>
        <w:jc w:val="both"/>
        <w:rPr>
          <w:rFonts w:ascii="Times New Roman" w:hAnsi="Times New Roman" w:cs="Times New Roman"/>
          <w:sz w:val="21"/>
          <w:szCs w:val="22"/>
        </w:rPr>
      </w:pPr>
      <w:r>
        <w:rPr>
          <w:rFonts w:hint="eastAsia" w:ascii="Times New Roman" w:hAnsi="Times New Roman" w:cs="Times New Roman"/>
          <w:sz w:val="21"/>
          <w:szCs w:val="22"/>
        </w:rPr>
        <w:t>Ying Wang#, Lin Ye#, Qianming Chen*, Jing Li*</w:t>
      </w:r>
    </w:p>
    <w:p w14:paraId="7917A1FD">
      <w:pPr>
        <w:jc w:val="both"/>
        <w:rPr>
          <w:rFonts w:ascii="Times New Roman" w:hAnsi="Times New Roman" w:cs="Times New Roman"/>
          <w:sz w:val="21"/>
          <w:szCs w:val="22"/>
        </w:rPr>
      </w:pPr>
      <w:r>
        <w:rPr>
          <w:rFonts w:hint="eastAsia" w:ascii="Times New Roman" w:hAnsi="Times New Roman" w:cs="Times New Roman"/>
          <w:sz w:val="21"/>
          <w:szCs w:val="22"/>
        </w:rPr>
        <w:t>State Key Laboratory of Oral Diseases &amp; National Center for Stomatology &amp; National Clinical Research Center for Oral Diseases &amp; Research Unit of Oral Carcinogenesis and Management &amp; Chinese Academy of Medical Sciences, West China Hospital of Stomatology, Sichuan University, Chengdu 610041, Sichuan, China.</w:t>
      </w:r>
    </w:p>
    <w:p w14:paraId="1AAE63F8">
      <w:pPr>
        <w:jc w:val="both"/>
        <w:rPr>
          <w:rFonts w:ascii="Times New Roman" w:hAnsi="Times New Roman" w:cs="Times New Roman"/>
          <w:sz w:val="21"/>
          <w:szCs w:val="22"/>
        </w:rPr>
      </w:pPr>
      <w:r>
        <w:rPr>
          <w:rFonts w:hint="eastAsia" w:ascii="Times New Roman" w:hAnsi="Times New Roman" w:cs="Times New Roman"/>
          <w:sz w:val="21"/>
          <w:szCs w:val="22"/>
        </w:rPr>
        <w:t>#These authors contributed equally</w:t>
      </w:r>
    </w:p>
    <w:p w14:paraId="2F3DDAB7">
      <w:pPr>
        <w:jc w:val="both"/>
        <w:rPr>
          <w:rFonts w:ascii="Times New Roman" w:hAnsi="Times New Roman" w:cs="Times New Roman"/>
          <w:sz w:val="21"/>
          <w:szCs w:val="22"/>
        </w:rPr>
      </w:pPr>
      <w:r>
        <w:rPr>
          <w:rFonts w:hint="eastAsia" w:ascii="Times New Roman" w:hAnsi="Times New Roman" w:cs="Times New Roman"/>
          <w:sz w:val="21"/>
          <w:szCs w:val="22"/>
        </w:rPr>
        <w:t>*To whom correspondence should be addressed</w:t>
      </w:r>
    </w:p>
    <w:p w14:paraId="72FC6C1A">
      <w:pPr>
        <w:jc w:val="both"/>
        <w:rPr>
          <w:rFonts w:ascii="Times New Roman" w:hAnsi="Times New Roman" w:cs="Times New Roman"/>
          <w:sz w:val="21"/>
          <w:szCs w:val="22"/>
        </w:rPr>
      </w:pPr>
    </w:p>
    <w:p w14:paraId="58CC288A">
      <w:pPr>
        <w:jc w:val="both"/>
        <w:rPr>
          <w:rFonts w:ascii="Times New Roman" w:hAnsi="Times New Roman" w:cs="Times New Roman"/>
          <w:sz w:val="21"/>
          <w:szCs w:val="22"/>
        </w:rPr>
      </w:pPr>
      <w:r>
        <w:rPr>
          <w:rFonts w:ascii="Segoe UI Symbol" w:hAnsi="Segoe UI Symbol" w:cs="Segoe UI Symbol"/>
          <w:sz w:val="21"/>
          <w:szCs w:val="22"/>
        </w:rPr>
        <w:t>✉</w:t>
      </w:r>
      <w:r>
        <w:rPr>
          <w:rFonts w:ascii="Times New Roman" w:hAnsi="Times New Roman" w:cs="Times New Roman"/>
          <w:sz w:val="21"/>
          <w:szCs w:val="22"/>
        </w:rPr>
        <w:t xml:space="preserve">  E-mail: lijing1984@scu.edu.cn (J.L.)</w:t>
      </w:r>
    </w:p>
    <w:p w14:paraId="3252A5A2">
      <w:pPr>
        <w:jc w:val="both"/>
        <w:rPr>
          <w:rFonts w:ascii="Times New Roman" w:hAnsi="Times New Roman" w:cs="Times New Roman"/>
          <w:sz w:val="21"/>
          <w:szCs w:val="22"/>
        </w:rPr>
      </w:pPr>
      <w:r>
        <w:rPr>
          <w:rFonts w:ascii="Segoe UI Symbol" w:hAnsi="Segoe UI Symbol" w:cs="Segoe UI Symbol"/>
          <w:sz w:val="21"/>
          <w:szCs w:val="22"/>
        </w:rPr>
        <w:t>✉</w:t>
      </w:r>
      <w:r>
        <w:rPr>
          <w:rFonts w:ascii="Times New Roman" w:hAnsi="Times New Roman" w:cs="Times New Roman"/>
          <w:sz w:val="21"/>
          <w:szCs w:val="22"/>
        </w:rPr>
        <w:t xml:space="preserve">  E-mail: </w:t>
      </w:r>
      <w:r>
        <w:fldChar w:fldCharType="begin"/>
      </w:r>
      <w:r>
        <w:instrText xml:space="preserve"> HYPERLINK "mailto:qmchen@scu.edu.cn" </w:instrText>
      </w:r>
      <w:r>
        <w:fldChar w:fldCharType="separate"/>
      </w:r>
      <w:r>
        <w:rPr>
          <w:rStyle w:val="18"/>
          <w:rFonts w:ascii="Times New Roman" w:hAnsi="Times New Roman" w:cs="Times New Roman"/>
          <w:sz w:val="21"/>
          <w:szCs w:val="22"/>
        </w:rPr>
        <w:t>qmchen@scu.edu.cn</w:t>
      </w:r>
      <w:r>
        <w:rPr>
          <w:rStyle w:val="18"/>
          <w:rFonts w:ascii="Times New Roman" w:hAnsi="Times New Roman" w:cs="Times New Roman"/>
          <w:sz w:val="21"/>
          <w:szCs w:val="22"/>
        </w:rPr>
        <w:fldChar w:fldCharType="end"/>
      </w:r>
      <w:r>
        <w:rPr>
          <w:rFonts w:hint="eastAsia" w:ascii="Times New Roman" w:hAnsi="Times New Roman" w:cs="Times New Roman"/>
          <w:sz w:val="21"/>
          <w:szCs w:val="22"/>
        </w:rPr>
        <w:t xml:space="preserve"> </w:t>
      </w:r>
      <w:r>
        <w:rPr>
          <w:rFonts w:ascii="Times New Roman" w:hAnsi="Times New Roman" w:cs="Times New Roman"/>
          <w:sz w:val="21"/>
          <w:szCs w:val="22"/>
        </w:rPr>
        <w:t>(</w:t>
      </w:r>
      <w:r>
        <w:rPr>
          <w:rFonts w:hint="eastAsia" w:ascii="Times New Roman" w:hAnsi="Times New Roman" w:cs="Times New Roman"/>
          <w:sz w:val="21"/>
          <w:szCs w:val="22"/>
        </w:rPr>
        <w:t>Q.C)</w:t>
      </w:r>
    </w:p>
    <w:p w14:paraId="4B05A333">
      <w:pPr>
        <w:jc w:val="both"/>
        <w:rPr>
          <w:rFonts w:ascii="Times New Roman" w:hAnsi="Times New Roman" w:cs="Times New Roman"/>
          <w:sz w:val="21"/>
          <w:szCs w:val="22"/>
        </w:rPr>
      </w:pPr>
    </w:p>
    <w:p w14:paraId="2B3C2328">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3D1D7406">
      <w:pPr>
        <w:jc w:val="both"/>
        <w:rPr>
          <w:rFonts w:ascii="Times New Roman" w:hAnsi="Times New Roman" w:cs="Times New Roman"/>
          <w:b/>
          <w:bCs/>
          <w:sz w:val="21"/>
          <w:szCs w:val="22"/>
        </w:rPr>
      </w:pPr>
      <w:r>
        <w:rPr>
          <w:rFonts w:hint="eastAsia" w:ascii="Times New Roman" w:hAnsi="Times New Roman" w:cs="Times New Roman"/>
          <w:b/>
          <w:bCs/>
          <w:sz w:val="21"/>
          <w:szCs w:val="22"/>
        </w:rPr>
        <w:t>Abstract</w:t>
      </w:r>
    </w:p>
    <w:p w14:paraId="2DF8D064">
      <w:pPr>
        <w:widowControl/>
        <w:jc w:val="both"/>
        <w:rPr>
          <w:rFonts w:ascii="Times New Roman" w:hAnsi="Times New Roman" w:cs="Times New Roman"/>
          <w:sz w:val="21"/>
          <w:szCs w:val="22"/>
        </w:rPr>
      </w:pPr>
      <w:r>
        <w:rPr>
          <w:rFonts w:hint="eastAsia" w:ascii="Times New Roman" w:hAnsi="Times New Roman" w:cs="Times New Roman"/>
          <w:b/>
          <w:bCs/>
          <w:sz w:val="21"/>
          <w:szCs w:val="22"/>
        </w:rPr>
        <w:t xml:space="preserve">Background: </w:t>
      </w:r>
      <w:r>
        <w:rPr>
          <w:rFonts w:hint="eastAsia" w:ascii="Times New Roman" w:hAnsi="Times New Roman" w:cs="Times New Roman"/>
          <w:sz w:val="21"/>
          <w:szCs w:val="22"/>
        </w:rPr>
        <w:t>Type 2 diabetes (T2D) is associated with alterations in the oral microenvironment, including microbial dysbiosis and host transcriptional changes. Whether antidiabetic therapies such as semaglutide modulate these alterations in a coordinated manner remains unclear.</w:t>
      </w:r>
    </w:p>
    <w:p w14:paraId="3D5F475F">
      <w:pPr>
        <w:widowControl/>
        <w:jc w:val="both"/>
        <w:rPr>
          <w:rFonts w:ascii="Times New Roman" w:hAnsi="Times New Roman" w:cs="Times New Roman"/>
          <w:sz w:val="21"/>
          <w:szCs w:val="22"/>
        </w:rPr>
      </w:pPr>
      <w:r>
        <w:rPr>
          <w:rFonts w:hint="eastAsia" w:ascii="Times New Roman" w:hAnsi="Times New Roman" w:cs="Times New Roman"/>
          <w:b/>
          <w:bCs/>
          <w:sz w:val="21"/>
          <w:szCs w:val="22"/>
        </w:rPr>
        <w:t xml:space="preserve">Objective: </w:t>
      </w:r>
      <w:r>
        <w:rPr>
          <w:rFonts w:hint="eastAsia" w:ascii="Times New Roman" w:hAnsi="Times New Roman" w:cs="Times New Roman"/>
          <w:sz w:val="21"/>
          <w:szCs w:val="22"/>
        </w:rPr>
        <w:t>To investigate whether semaglutide is associated with partial restoration of diabetes-related alterations through coordinated changes in oral microbiota and host transcriptional programs.</w:t>
      </w:r>
    </w:p>
    <w:p w14:paraId="0B41E673">
      <w:pPr>
        <w:widowControl/>
        <w:jc w:val="both"/>
        <w:rPr>
          <w:rFonts w:ascii="Times New Roman" w:hAnsi="Times New Roman" w:cs="Times New Roman"/>
          <w:sz w:val="21"/>
          <w:szCs w:val="22"/>
        </w:rPr>
      </w:pPr>
      <w:r>
        <w:rPr>
          <w:rFonts w:hint="eastAsia" w:ascii="Times New Roman" w:hAnsi="Times New Roman" w:cs="Times New Roman"/>
          <w:b/>
          <w:bCs/>
          <w:sz w:val="21"/>
          <w:szCs w:val="22"/>
        </w:rPr>
        <w:t xml:space="preserve">Methods: </w:t>
      </w:r>
      <w:r>
        <w:rPr>
          <w:rFonts w:hint="eastAsia" w:ascii="Times New Roman" w:hAnsi="Times New Roman" w:cs="Times New Roman"/>
          <w:sz w:val="21"/>
          <w:szCs w:val="22"/>
        </w:rPr>
        <w:t>16S rRNA sequencing and bulk RNA-seq were performed on oral samples from WT, db/db, and semaglutide-treated db/db mice. Microbial diversity, community structure, taxonomic composition, gene expression, and integrative analyses were conducted.</w:t>
      </w:r>
    </w:p>
    <w:p w14:paraId="7A328292">
      <w:pPr>
        <w:widowControl/>
        <w:jc w:val="both"/>
        <w:rPr>
          <w:rFonts w:ascii="Times New Roman" w:hAnsi="Times New Roman" w:cs="Times New Roman"/>
          <w:sz w:val="21"/>
          <w:szCs w:val="22"/>
        </w:rPr>
      </w:pPr>
      <w:r>
        <w:rPr>
          <w:rFonts w:hint="eastAsia" w:ascii="Times New Roman" w:hAnsi="Times New Roman" w:cs="Times New Roman"/>
          <w:b/>
          <w:bCs/>
          <w:sz w:val="21"/>
          <w:szCs w:val="22"/>
        </w:rPr>
        <w:t xml:space="preserve">Results: </w:t>
      </w:r>
      <w:r>
        <w:rPr>
          <w:rFonts w:ascii="Times New Roman" w:hAnsi="Times New Roman" w:cs="Times New Roman"/>
          <w:i/>
          <w:iCs/>
          <w:sz w:val="21"/>
          <w:szCs w:val="22"/>
        </w:rPr>
        <w:t>β</w:t>
      </w:r>
      <w:r>
        <w:rPr>
          <w:rFonts w:hint="eastAsia" w:ascii="Times New Roman" w:hAnsi="Times New Roman" w:cs="Times New Roman"/>
          <w:i/>
          <w:iCs/>
          <w:sz w:val="21"/>
          <w:szCs w:val="22"/>
        </w:rPr>
        <w:t xml:space="preserve"> </w:t>
      </w:r>
      <w:r>
        <w:rPr>
          <w:rFonts w:hint="eastAsia" w:ascii="Times New Roman" w:hAnsi="Times New Roman" w:cs="Times New Roman"/>
          <w:sz w:val="21"/>
          <w:szCs w:val="22"/>
        </w:rPr>
        <w:t xml:space="preserve">diversity analysis revealed clear separation between WT and db/db groups, with semaglutide-treated samples partially shifting toward the WT state, while </w:t>
      </w:r>
      <m:oMath>
        <m:r>
          <m:rPr>
            <m:nor/>
          </m:rPr>
          <w:rPr>
            <w:rFonts w:ascii="Times New Roman" w:hAnsi="Times New Roman" w:cs="Times New Roman"/>
            <w:i/>
            <w:sz w:val="21"/>
          </w:rPr>
          <m:t>α</m:t>
        </m:r>
      </m:oMath>
      <w:r>
        <w:rPr>
          <w:rFonts w:hint="eastAsia" w:ascii="Times New Roman" w:hAnsi="Times New Roman" w:cs="Times New Roman"/>
          <w:sz w:val="21"/>
          <w:szCs w:val="22"/>
        </w:rPr>
        <w:t xml:space="preserve"> diversity showed no significant difference. The dysbiosis index was increased in db/db mice and reduced following treatment. At the genus level, Bacillus and Delftia were decreased, whereas Streptococcus was increased in db/db mice, with opposite trends after treatment. Transcriptomic analysis identified distinct gene clusters, including interferon-enriched and metabolic-associated programs. The modulation of interferon- and antiviral-response pathways was observed following treatment, with partial attenuation of the alterations detected in db/db mice. Integration analyses demonstrated coordinated host–microbiome alterations, including reorganization of gene–microbiota networks and significant correlations between cluster-specific transcriptional programs and dysbiosis (r = 0.745 and r = –0.845).</w:t>
      </w:r>
    </w:p>
    <w:p w14:paraId="7EC80F19">
      <w:pPr>
        <w:widowControl/>
        <w:jc w:val="both"/>
        <w:rPr>
          <w:rFonts w:ascii="Times New Roman" w:hAnsi="Times New Roman" w:cs="Times New Roman"/>
          <w:sz w:val="21"/>
          <w:szCs w:val="22"/>
        </w:rPr>
      </w:pPr>
      <w:r>
        <w:rPr>
          <w:rFonts w:hint="eastAsia" w:ascii="Times New Roman" w:hAnsi="Times New Roman" w:cs="Times New Roman"/>
          <w:b/>
          <w:bCs/>
          <w:sz w:val="21"/>
          <w:szCs w:val="22"/>
        </w:rPr>
        <w:t xml:space="preserve">Conclusion: </w:t>
      </w:r>
      <w:r>
        <w:rPr>
          <w:rFonts w:hint="eastAsia" w:ascii="Times New Roman" w:hAnsi="Times New Roman" w:cs="Times New Roman"/>
          <w:sz w:val="21"/>
          <w:szCs w:val="22"/>
        </w:rPr>
        <w:t>T2D is associated with coordinated alterations in oral microbial composition and host transcriptional profiles. Semaglutide treatment is accompanied by partial remodeling of these features and their interrelationship, highlighting linked host–microbiome dynamics in the oral environment.</w:t>
      </w:r>
    </w:p>
    <w:p w14:paraId="5BF84038">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5DC49436">
      <w:pPr>
        <w:jc w:val="both"/>
        <w:rPr>
          <w:rFonts w:ascii="Times New Roman" w:hAnsi="Times New Roman" w:cs="Times New Roman"/>
          <w:b/>
          <w:bCs/>
          <w:sz w:val="21"/>
          <w:szCs w:val="22"/>
        </w:rPr>
      </w:pPr>
      <w:r>
        <w:rPr>
          <w:rFonts w:hint="eastAsia" w:ascii="Times New Roman" w:hAnsi="Times New Roman" w:cs="Times New Roman"/>
          <w:b/>
          <w:bCs/>
          <w:sz w:val="21"/>
          <w:szCs w:val="22"/>
        </w:rPr>
        <w:t>Introduction</w:t>
      </w:r>
    </w:p>
    <w:p w14:paraId="5976BCB9">
      <w:pPr>
        <w:jc w:val="both"/>
        <w:rPr>
          <w:rFonts w:ascii="Times New Roman" w:hAnsi="Times New Roman" w:cs="Times New Roman"/>
          <w:sz w:val="21"/>
          <w:szCs w:val="22"/>
        </w:rPr>
      </w:pPr>
      <w:r>
        <w:rPr>
          <w:rFonts w:hint="eastAsia" w:ascii="Times New Roman" w:hAnsi="Times New Roman" w:cs="Times New Roman"/>
          <w:sz w:val="21"/>
          <w:szCs w:val="22"/>
        </w:rPr>
        <w:t>Type 2 diabetes (T2D) is a metabolic disorder characterized by chronic hyperglycemia and systemic metabolic dysregulation</w:t>
      </w:r>
      <w:r>
        <w:rPr>
          <w:rFonts w:ascii="Times New Roman" w:hAnsi="Times New Roman" w:cs="Times New Roman"/>
          <w:sz w:val="21"/>
          <w:szCs w:val="22"/>
          <w:vertAlign w:val="superscript"/>
        </w:rPr>
        <w:t>1</w:t>
      </w:r>
      <w:r>
        <w:rPr>
          <w:rFonts w:hint="eastAsia" w:ascii="Times New Roman" w:hAnsi="Times New Roman" w:cs="Times New Roman"/>
          <w:sz w:val="21"/>
          <w:szCs w:val="22"/>
        </w:rPr>
        <w:t>. Increasing evidence suggests that T2D is associated with alterations in the oral microenvironment, including changes in microbial composition and host responses, which may contribute to oral disease susceptibility and impaired tissue homeostasis</w:t>
      </w:r>
      <w:r>
        <w:rPr>
          <w:rFonts w:ascii="Times New Roman" w:hAnsi="Times New Roman" w:cs="Times New Roman"/>
          <w:sz w:val="21"/>
          <w:szCs w:val="22"/>
          <w:vertAlign w:val="superscript"/>
        </w:rPr>
        <w:t>2-4</w:t>
      </w:r>
      <w:r>
        <w:rPr>
          <w:rFonts w:hint="eastAsia" w:ascii="Times New Roman" w:hAnsi="Times New Roman" w:cs="Times New Roman"/>
          <w:sz w:val="21"/>
          <w:szCs w:val="22"/>
        </w:rPr>
        <w:t>. While microbial dysbiosis has been reported in diabetic conditions, the accompanying host transcriptional changes and their potential coordination with microbial alterations remain incompletely understood.</w:t>
      </w:r>
    </w:p>
    <w:p w14:paraId="308E0CB7">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Semaglutide, a glucagon-like peptide-1 receptor agonist, has demonstrated efficacy in glycemic control and metabolic regulation</w:t>
      </w:r>
      <w:r>
        <w:rPr>
          <w:rFonts w:ascii="Times New Roman" w:hAnsi="Times New Roman" w:cs="Times New Roman"/>
          <w:sz w:val="21"/>
          <w:szCs w:val="22"/>
          <w:vertAlign w:val="superscript"/>
        </w:rPr>
        <w:t>5</w:t>
      </w:r>
      <w:r>
        <w:rPr>
          <w:rFonts w:hint="eastAsia" w:ascii="Times New Roman" w:hAnsi="Times New Roman" w:cs="Times New Roman"/>
          <w:sz w:val="21"/>
          <w:szCs w:val="22"/>
        </w:rPr>
        <w:t>. Beyond its systemic effects, emerging studies suggest that metabolic interventions may also influence host–microbiome interactions</w:t>
      </w:r>
      <w:r>
        <w:rPr>
          <w:rFonts w:ascii="Times New Roman" w:hAnsi="Times New Roman" w:cs="Times New Roman"/>
          <w:sz w:val="21"/>
          <w:szCs w:val="22"/>
          <w:vertAlign w:val="superscript"/>
        </w:rPr>
        <w:t>6</w:t>
      </w:r>
      <w:r>
        <w:rPr>
          <w:rFonts w:hint="eastAsia" w:ascii="Times New Roman" w:hAnsi="Times New Roman" w:cs="Times New Roman"/>
          <w:sz w:val="21"/>
          <w:szCs w:val="22"/>
        </w:rPr>
        <w:t>. Nevertheless, whether semaglutide modulates the oral ecosystem via coordinated effects on microbial communities and host transcriptional programs remains unclear.</w:t>
      </w:r>
    </w:p>
    <w:p w14:paraId="2BF98622">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In this study, we integrated 16S rRNA sequencing and transcriptomic profiling to characterize oral microbial composition and host gene expression in diabetic (db/db) mice, and to evaluate how these features are altered following semaglutide treatment. Our aim was to determine whether semaglutide could reshape diabetes-associated oral dysbiosis and whether such changes are accompanied by coordinated host transcriptional reprogramming.</w:t>
      </w:r>
    </w:p>
    <w:p w14:paraId="1E9B928E">
      <w:pPr>
        <w:jc w:val="both"/>
        <w:rPr>
          <w:rFonts w:ascii="Times New Roman" w:hAnsi="Times New Roman" w:cs="Times New Roman"/>
          <w:b/>
          <w:bCs/>
          <w:sz w:val="21"/>
          <w:szCs w:val="22"/>
        </w:rPr>
      </w:pPr>
      <w:r>
        <w:rPr>
          <w:rFonts w:ascii="Times New Roman" w:hAnsi="Times New Roman" w:cs="Times New Roman"/>
          <w:b/>
          <w:bCs/>
          <w:sz w:val="21"/>
          <w:szCs w:val="22"/>
        </w:rPr>
        <w:t>R</w:t>
      </w:r>
      <w:r>
        <w:rPr>
          <w:rFonts w:hint="eastAsia" w:ascii="Times New Roman" w:hAnsi="Times New Roman" w:cs="Times New Roman"/>
          <w:b/>
          <w:bCs/>
          <w:sz w:val="21"/>
          <w:szCs w:val="22"/>
        </w:rPr>
        <w:t>esults</w:t>
      </w:r>
    </w:p>
    <w:p w14:paraId="51522102">
      <w:pPr>
        <w:pStyle w:val="32"/>
        <w:numPr>
          <w:ilvl w:val="0"/>
          <w:numId w:val="1"/>
        </w:numPr>
        <w:jc w:val="both"/>
        <w:rPr>
          <w:rFonts w:ascii="Times New Roman" w:hAnsi="Times New Roman" w:cs="Times New Roman"/>
          <w:b/>
          <w:bCs/>
          <w:sz w:val="21"/>
          <w:szCs w:val="22"/>
        </w:rPr>
      </w:pPr>
      <w:r>
        <w:rPr>
          <w:rFonts w:hint="eastAsia" w:ascii="Times New Roman" w:hAnsi="Times New Roman" w:cs="Times New Roman"/>
          <w:b/>
          <w:bCs/>
          <w:sz w:val="21"/>
          <w:szCs w:val="22"/>
        </w:rPr>
        <w:t>Alterations in microbial community structure and composition</w:t>
      </w:r>
    </w:p>
    <w:p w14:paraId="56C9383F">
      <w:pPr>
        <w:jc w:val="both"/>
        <w:rPr>
          <w:rFonts w:ascii="Times New Roman" w:hAnsi="Times New Roman" w:cs="Times New Roman"/>
          <w:sz w:val="21"/>
          <w:szCs w:val="22"/>
        </w:rPr>
      </w:pPr>
      <w:r>
        <w:rPr>
          <w:rFonts w:hint="eastAsia" w:ascii="Times New Roman" w:hAnsi="Times New Roman" w:cs="Times New Roman"/>
          <w:sz w:val="21"/>
          <w:szCs w:val="22"/>
        </w:rPr>
        <w:t xml:space="preserve">At the microbial level, </w:t>
      </w:r>
      <w:r>
        <w:rPr>
          <w:rFonts w:ascii="Times New Roman" w:hAnsi="Times New Roman" w:cs="Times New Roman"/>
          <w:i/>
          <w:iCs/>
          <w:sz w:val="21"/>
          <w:szCs w:val="22"/>
        </w:rPr>
        <w:t xml:space="preserve">α </w:t>
      </w:r>
      <w:r>
        <w:rPr>
          <w:rFonts w:hint="eastAsia" w:ascii="Times New Roman" w:hAnsi="Times New Roman" w:cs="Times New Roman"/>
          <w:sz w:val="21"/>
          <w:szCs w:val="22"/>
        </w:rPr>
        <w:t>diversity showed no significant difference across groups, although db/db mice exhibited greater variability and a trend toward lower ASV counts (</w:t>
      </w:r>
      <w:r>
        <w:rPr>
          <w:rFonts w:hint="eastAsia" w:ascii="Times New Roman" w:hAnsi="Times New Roman" w:cs="Times New Roman"/>
          <w:color w:val="0000FF"/>
          <w:sz w:val="21"/>
          <w:szCs w:val="22"/>
        </w:rPr>
        <w:t>Fig. 1A</w:t>
      </w:r>
      <w:r>
        <w:rPr>
          <w:rFonts w:hint="eastAsia" w:ascii="Times New Roman" w:hAnsi="Times New Roman" w:cs="Times New Roman"/>
          <w:sz w:val="21"/>
          <w:szCs w:val="22"/>
        </w:rPr>
        <w:t xml:space="preserve">). In contrast, </w:t>
      </w:r>
      <w:r>
        <w:rPr>
          <w:rFonts w:ascii="Times New Roman" w:hAnsi="Times New Roman" w:cs="Times New Roman"/>
          <w:i/>
          <w:iCs/>
          <w:sz w:val="21"/>
          <w:szCs w:val="22"/>
        </w:rPr>
        <w:t>β</w:t>
      </w:r>
      <w:r>
        <w:rPr>
          <w:rFonts w:hint="eastAsia" w:ascii="Times New Roman" w:hAnsi="Times New Roman" w:cs="Times New Roman"/>
          <w:sz w:val="21"/>
          <w:szCs w:val="22"/>
        </w:rPr>
        <w:t xml:space="preserve"> diversity analysis revealed clear separation between WT and db/db groups, while semaglutide-treated samples shifted toward the WT cluster, indicating partial remodeling of microbial community structure (</w:t>
      </w:r>
      <w:r>
        <w:rPr>
          <w:rFonts w:hint="eastAsia" w:ascii="Times New Roman" w:hAnsi="Times New Roman" w:cs="Times New Roman"/>
          <w:color w:val="0000FF"/>
          <w:sz w:val="21"/>
          <w:szCs w:val="22"/>
        </w:rPr>
        <w:t>Fig. 1B</w:t>
      </w:r>
      <w:r>
        <w:rPr>
          <w:rFonts w:hint="eastAsia" w:ascii="Times New Roman" w:hAnsi="Times New Roman" w:cs="Times New Roman"/>
          <w:sz w:val="21"/>
          <w:szCs w:val="22"/>
        </w:rPr>
        <w:t>). Consistently, the dysbiosis index was elevated in db/db mice and reduced following treatment, although not fully restored to WT levels (</w:t>
      </w:r>
      <w:r>
        <w:rPr>
          <w:rFonts w:hint="eastAsia" w:ascii="Times New Roman" w:hAnsi="Times New Roman" w:cs="Times New Roman"/>
          <w:color w:val="0000FF"/>
          <w:sz w:val="21"/>
          <w:szCs w:val="22"/>
        </w:rPr>
        <w:t>Fig. 1C</w:t>
      </w:r>
      <w:r>
        <w:rPr>
          <w:rFonts w:hint="eastAsia" w:ascii="Times New Roman" w:hAnsi="Times New Roman" w:cs="Times New Roman"/>
          <w:sz w:val="21"/>
          <w:szCs w:val="22"/>
        </w:rPr>
        <w:t>). At the genus level, Bacillus and Delftia were decreased in db/db mice and increased after treatment, whereas Streptococcus showed the opposite trend (</w:t>
      </w:r>
      <w:r>
        <w:rPr>
          <w:rFonts w:hint="eastAsia" w:ascii="Times New Roman" w:hAnsi="Times New Roman" w:cs="Times New Roman"/>
          <w:color w:val="0000FF"/>
          <w:sz w:val="21"/>
          <w:szCs w:val="22"/>
        </w:rPr>
        <w:t>Fig. 1D–F</w:t>
      </w:r>
      <w:r>
        <w:rPr>
          <w:rFonts w:hint="eastAsia" w:ascii="Times New Roman" w:hAnsi="Times New Roman" w:cs="Times New Roman"/>
          <w:sz w:val="21"/>
          <w:szCs w:val="22"/>
        </w:rPr>
        <w:t>), indicating compositional shifts partially rescued by semaglutide.</w:t>
      </w:r>
    </w:p>
    <w:p w14:paraId="007F9FA8">
      <w:pPr>
        <w:pStyle w:val="32"/>
        <w:numPr>
          <w:ilvl w:val="0"/>
          <w:numId w:val="1"/>
        </w:numPr>
        <w:jc w:val="both"/>
        <w:rPr>
          <w:rFonts w:ascii="Times New Roman" w:hAnsi="Times New Roman" w:cs="Times New Roman"/>
          <w:b/>
          <w:bCs/>
          <w:sz w:val="21"/>
          <w:szCs w:val="22"/>
        </w:rPr>
      </w:pPr>
      <w:r>
        <w:rPr>
          <w:rFonts w:hint="eastAsia" w:ascii="Times New Roman" w:hAnsi="Times New Roman" w:cs="Times New Roman"/>
          <w:b/>
          <w:bCs/>
          <w:sz w:val="21"/>
          <w:szCs w:val="22"/>
        </w:rPr>
        <w:t>Coordinated alterations in host transcriptional programs and microbe–host interactions</w:t>
      </w:r>
    </w:p>
    <w:p w14:paraId="3B1CB08C">
      <w:pPr>
        <w:jc w:val="both"/>
        <w:rPr>
          <w:rFonts w:ascii="Times New Roman" w:hAnsi="Times New Roman" w:cs="Times New Roman"/>
          <w:sz w:val="21"/>
          <w:szCs w:val="22"/>
        </w:rPr>
      </w:pPr>
      <w:r>
        <w:rPr>
          <w:rFonts w:hint="eastAsia" w:ascii="Times New Roman" w:hAnsi="Times New Roman" w:cs="Times New Roman"/>
          <w:sz w:val="21"/>
          <w:szCs w:val="22"/>
        </w:rPr>
        <w:t>To characterize host transcriptional responses, genes were partitioned into six clusters based on their standardized expression profiles, among which clusters 2 and 4 showed the most pronounced differences between WT and db/db mice (</w:t>
      </w:r>
      <w:r>
        <w:rPr>
          <w:rFonts w:hint="eastAsia" w:ascii="Times New Roman" w:hAnsi="Times New Roman" w:cs="Times New Roman"/>
          <w:color w:val="0000FF"/>
          <w:sz w:val="21"/>
          <w:szCs w:val="22"/>
        </w:rPr>
        <w:t>Fig. 2A</w:t>
      </w:r>
      <w:r>
        <w:rPr>
          <w:rFonts w:hint="eastAsia" w:ascii="Times New Roman" w:hAnsi="Times New Roman" w:cs="Times New Roman"/>
          <w:sz w:val="21"/>
          <w:szCs w:val="22"/>
        </w:rPr>
        <w:t xml:space="preserve">). Cluster 4 was enriched for interferon-stimulated genes (e.g., </w:t>
      </w:r>
      <w:r>
        <w:rPr>
          <w:rFonts w:hint="eastAsia" w:ascii="Times New Roman" w:hAnsi="Times New Roman" w:cs="Times New Roman"/>
          <w:i/>
          <w:iCs/>
          <w:sz w:val="21"/>
          <w:szCs w:val="22"/>
        </w:rPr>
        <w:t>Ifit1</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Ifi44</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Oas1g</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Gbp2</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Irgm2</w:t>
      </w:r>
      <w:r>
        <w:rPr>
          <w:rFonts w:hint="eastAsia" w:ascii="Times New Roman" w:hAnsi="Times New Roman" w:cs="Times New Roman"/>
          <w:sz w:val="21"/>
          <w:szCs w:val="22"/>
        </w:rPr>
        <w:t>), whereas cluster 2 genes (e.g.,</w:t>
      </w:r>
      <w:r>
        <w:rPr>
          <w:rFonts w:hint="eastAsia" w:ascii="Times New Roman" w:hAnsi="Times New Roman" w:cs="Times New Roman"/>
          <w:i/>
          <w:iCs/>
          <w:sz w:val="21"/>
          <w:szCs w:val="22"/>
        </w:rPr>
        <w:t xml:space="preserve"> Svs2</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Csn3</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Nnat</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B3galt5</w:t>
      </w:r>
      <w:r>
        <w:rPr>
          <w:rFonts w:hint="eastAsia" w:ascii="Times New Roman" w:hAnsi="Times New Roman" w:cs="Times New Roman"/>
          <w:sz w:val="21"/>
          <w:szCs w:val="22"/>
        </w:rPr>
        <w:t>) were associated with metabolic or secretory processes. Both clusters exhibited partial shifts toward WT-like patterns following semaglutide treatment. Rescue-based enrichment analysis of clusters 2 and 4 revealed significant involvement in interferon- and antiviral-response pathways (</w:t>
      </w:r>
      <w:r>
        <w:rPr>
          <w:rFonts w:hint="eastAsia" w:ascii="Times New Roman" w:hAnsi="Times New Roman" w:cs="Times New Roman"/>
          <w:color w:val="0000FF"/>
          <w:sz w:val="21"/>
          <w:szCs w:val="22"/>
        </w:rPr>
        <w:t>Fig. 2B</w:t>
      </w:r>
      <w:r>
        <w:rPr>
          <w:rFonts w:hint="eastAsia" w:ascii="Times New Roman" w:hAnsi="Times New Roman" w:cs="Times New Roman"/>
          <w:sz w:val="21"/>
          <w:szCs w:val="22"/>
        </w:rPr>
        <w:t>), indicating treatment-associated modulation of immune-related programs. Gene–microbiota network analysis showed that these cluster-associated genes were linked to multiple bacterial genera, including Corynebacterium, Streptococcus, and Pseudomonas (</w:t>
      </w:r>
      <w:r>
        <w:rPr>
          <w:rFonts w:hint="eastAsia" w:ascii="Times New Roman" w:hAnsi="Times New Roman" w:cs="Times New Roman"/>
          <w:color w:val="0000FF"/>
          <w:sz w:val="21"/>
          <w:szCs w:val="22"/>
        </w:rPr>
        <w:t>Fig. 2C</w:t>
      </w:r>
      <w:r>
        <w:rPr>
          <w:rFonts w:hint="eastAsia" w:ascii="Times New Roman" w:hAnsi="Times New Roman" w:cs="Times New Roman"/>
          <w:sz w:val="21"/>
          <w:szCs w:val="22"/>
        </w:rPr>
        <w:t>). Correlation analysis demonstrated distinct associations between microbial dysbiosis and cluster-specific transcriptional programs (</w:t>
      </w:r>
      <w:r>
        <w:rPr>
          <w:rFonts w:hint="eastAsia" w:ascii="Times New Roman" w:hAnsi="Times New Roman" w:cs="Times New Roman"/>
          <w:color w:val="0000FF"/>
          <w:sz w:val="21"/>
          <w:szCs w:val="22"/>
        </w:rPr>
        <w:t>Fig. 2D</w:t>
      </w:r>
      <w:r>
        <w:rPr>
          <w:rFonts w:hint="eastAsia" w:ascii="Times New Roman" w:hAnsi="Times New Roman" w:cs="Times New Roman"/>
          <w:sz w:val="21"/>
          <w:szCs w:val="22"/>
        </w:rPr>
        <w:t xml:space="preserve">). The eigengene of cluster 2 was positively correlated with dysbiosis (r = 0.745, </w:t>
      </w:r>
      <w:r>
        <w:rPr>
          <w:rFonts w:hint="eastAsia" w:ascii="Times New Roman" w:hAnsi="Times New Roman" w:cs="Times New Roman"/>
          <w:i/>
          <w:iCs/>
          <w:sz w:val="21"/>
          <w:szCs w:val="22"/>
        </w:rPr>
        <w:t>P</w:t>
      </w:r>
      <w:r>
        <w:rPr>
          <w:rFonts w:hint="eastAsia" w:ascii="Times New Roman" w:hAnsi="Times New Roman" w:cs="Times New Roman"/>
          <w:sz w:val="21"/>
          <w:szCs w:val="22"/>
        </w:rPr>
        <w:t xml:space="preserve"> = 0.0085), whereas cluster 4 show</w:t>
      </w:r>
      <w:r>
        <w:rPr>
          <w:rFonts w:ascii="Times New Roman" w:hAnsi="Times New Roman" w:cs="Times New Roman"/>
          <w:sz w:val="21"/>
          <w:szCs w:val="22"/>
        </w:rPr>
        <w:t xml:space="preserve">ed a negative correlation (r = −0.845, </w:t>
      </w:r>
      <w:r>
        <w:rPr>
          <w:rFonts w:hint="eastAsia" w:ascii="Times New Roman" w:hAnsi="Times New Roman" w:cs="Times New Roman"/>
          <w:i/>
          <w:iCs/>
          <w:sz w:val="21"/>
          <w:szCs w:val="22"/>
        </w:rPr>
        <w:t>P</w:t>
      </w:r>
      <w:r>
        <w:rPr>
          <w:rFonts w:ascii="Times New Roman" w:hAnsi="Times New Roman" w:cs="Times New Roman"/>
          <w:sz w:val="21"/>
          <w:szCs w:val="22"/>
        </w:rPr>
        <w:t xml:space="preserve"> = 0.001), indicating differential coupling between transcriptional modules and microbial imbalance. Consistently, network comparison revealed altered interaction structures in db/db mice and partial reorganization f</w:t>
      </w:r>
      <w:r>
        <w:rPr>
          <w:rFonts w:hint="eastAsia" w:ascii="Times New Roman" w:hAnsi="Times New Roman" w:cs="Times New Roman"/>
          <w:sz w:val="21"/>
          <w:szCs w:val="22"/>
        </w:rPr>
        <w:t>ollowing treatment (</w:t>
      </w:r>
      <w:r>
        <w:rPr>
          <w:rFonts w:hint="eastAsia" w:ascii="Times New Roman" w:hAnsi="Times New Roman" w:cs="Times New Roman"/>
          <w:color w:val="0000FF"/>
          <w:sz w:val="21"/>
          <w:szCs w:val="22"/>
        </w:rPr>
        <w:t>Fig. 2E</w:t>
      </w:r>
      <w:r>
        <w:rPr>
          <w:rFonts w:hint="eastAsia" w:ascii="Times New Roman" w:hAnsi="Times New Roman" w:cs="Times New Roman"/>
          <w:sz w:val="21"/>
          <w:szCs w:val="22"/>
        </w:rPr>
        <w:t>).</w:t>
      </w:r>
    </w:p>
    <w:p w14:paraId="56ADAD65">
      <w:pPr>
        <w:jc w:val="both"/>
        <w:rPr>
          <w:rFonts w:ascii="Times New Roman" w:hAnsi="Times New Roman" w:cs="Times New Roman"/>
          <w:b/>
          <w:bCs/>
          <w:sz w:val="21"/>
          <w:szCs w:val="22"/>
        </w:rPr>
      </w:pPr>
      <w:r>
        <w:rPr>
          <w:rFonts w:ascii="Times New Roman" w:hAnsi="Times New Roman" w:cs="Times New Roman"/>
          <w:b/>
          <w:bCs/>
          <w:sz w:val="21"/>
          <w:szCs w:val="22"/>
        </w:rPr>
        <w:t>D</w:t>
      </w:r>
      <w:r>
        <w:rPr>
          <w:rFonts w:hint="eastAsia" w:ascii="Times New Roman" w:hAnsi="Times New Roman" w:cs="Times New Roman"/>
          <w:b/>
          <w:bCs/>
          <w:sz w:val="21"/>
          <w:szCs w:val="22"/>
        </w:rPr>
        <w:t>iscussion</w:t>
      </w:r>
    </w:p>
    <w:p w14:paraId="5FE1EC62">
      <w:pPr>
        <w:jc w:val="both"/>
        <w:rPr>
          <w:rFonts w:ascii="Times New Roman" w:hAnsi="Times New Roman" w:cs="Times New Roman"/>
          <w:sz w:val="21"/>
          <w:szCs w:val="22"/>
        </w:rPr>
      </w:pPr>
      <w:r>
        <w:rPr>
          <w:rFonts w:hint="eastAsia" w:ascii="Times New Roman" w:hAnsi="Times New Roman" w:cs="Times New Roman"/>
          <w:sz w:val="21"/>
          <w:szCs w:val="22"/>
        </w:rPr>
        <w:t>In this study, we integrated oral microbiome and transcriptomic profiling in a T2D mouse model and assessed their association with semaglutide treatment. Diabetes was associated with alterations in microbial community structure, host transcriptional programs, and their interrelationship, whereas semaglutide was accompanied by partial remodeling of these features.</w:t>
      </w:r>
    </w:p>
    <w:p w14:paraId="30846DD5">
      <w:pPr>
        <w:ind w:firstLine="315" w:firstLineChars="150"/>
        <w:jc w:val="both"/>
        <w:rPr>
          <w:rFonts w:ascii="Times New Roman" w:hAnsi="Times New Roman" w:cs="Times New Roman"/>
          <w:sz w:val="21"/>
          <w:szCs w:val="22"/>
        </w:rPr>
      </w:pPr>
      <w:r>
        <w:rPr>
          <w:rFonts w:hint="eastAsia" w:ascii="Times New Roman" w:hAnsi="Times New Roman" w:cs="Times New Roman"/>
          <w:sz w:val="21"/>
          <w:szCs w:val="22"/>
        </w:rPr>
        <w:t>At the microbial level, α diversity was unchanged, whereas β diversity revealed clear separation between WT and db/db mice, indicating structural remodeling accompanied by increased dysbiosis and directional shifts in taxa, including decreased Bacillus and Delftia and increased Streptococcus. These alterations were partially reversed by semaglutide, with a shift toward the WT state and reduced dysbiosis. At the host level, cluster analysis identified distinct transcriptional programs, with cluster 4 enriched for interferon-stimulated genes and cluster 2 associated with metabolic or secretory processes. These modules showed differential associations with dysbiosis, with cluster 2 positively and cluster 4 negatively correlated, and were accompanied by reorganization of gene-microbiota networks that were partially restored following treatment. Together, these findings support coordinated host–microbiome alterations in T2D and suggest potential relevance to oral health, including periodontal disease, although causality cannot be inferred.</w:t>
      </w:r>
    </w:p>
    <w:p w14:paraId="3326C54F">
      <w:pPr>
        <w:ind w:firstLine="315" w:firstLineChars="150"/>
        <w:jc w:val="both"/>
        <w:rPr>
          <w:rFonts w:ascii="Times New Roman" w:hAnsi="Times New Roman" w:cs="Times New Roman"/>
          <w:sz w:val="21"/>
          <w:szCs w:val="22"/>
        </w:rPr>
      </w:pPr>
      <w:r>
        <w:rPr>
          <w:rFonts w:hint="eastAsia" w:ascii="Times New Roman" w:hAnsi="Times New Roman" w:cs="Times New Roman"/>
          <w:sz w:val="21"/>
          <w:szCs w:val="22"/>
        </w:rPr>
        <w:t>Semaglutide is increasingly used for both T2D and weight management</w:t>
      </w:r>
      <w:r>
        <w:rPr>
          <w:rFonts w:ascii="Times New Roman" w:hAnsi="Times New Roman" w:cs="Times New Roman"/>
          <w:sz w:val="21"/>
          <w:szCs w:val="22"/>
          <w:vertAlign w:val="superscript"/>
        </w:rPr>
        <w:t>8</w:t>
      </w:r>
      <w:r>
        <w:rPr>
          <w:rFonts w:hint="eastAsia" w:ascii="Times New Roman" w:hAnsi="Times New Roman" w:cs="Times New Roman"/>
          <w:sz w:val="21"/>
          <w:szCs w:val="22"/>
        </w:rPr>
        <w:t>. In addition to reported systemic effects, including skeletal muscle alterations</w:t>
      </w:r>
      <w:r>
        <w:rPr>
          <w:rFonts w:ascii="Times New Roman" w:hAnsi="Times New Roman" w:cs="Times New Roman"/>
          <w:sz w:val="21"/>
          <w:szCs w:val="22"/>
          <w:vertAlign w:val="superscript"/>
        </w:rPr>
        <w:t>9</w:t>
      </w:r>
      <w:r>
        <w:rPr>
          <w:rFonts w:hint="eastAsia" w:ascii="Times New Roman" w:hAnsi="Times New Roman" w:cs="Times New Roman"/>
          <w:sz w:val="21"/>
          <w:szCs w:val="22"/>
        </w:rPr>
        <w:t>, our findings suggest that it is also associated with remodeling of the oral ecosystem. While the functional consequences remain unclear, these observations raise the possibility that long-term therapy may influence oral microenvironmental balance. From a translational perspective, individuals receiving semaglutide, particularly those without overt disease, may benefit from attention to oral health and microbial homeostasis. However, further studies are required to determine the clinical relevance of these findings.</w:t>
      </w:r>
    </w:p>
    <w:p w14:paraId="5F43B203">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In conclusion, T2D is associated with coordinated alterations in oral microbiota and host transcriptional profiles, and semaglutide is accompanied by partial remodeling of these features, highlighting the importance of integrated host–microbiome dynamics in metabolic conditions.</w:t>
      </w:r>
    </w:p>
    <w:p w14:paraId="79A25CE2">
      <w:pPr>
        <w:jc w:val="both"/>
        <w:rPr>
          <w:rFonts w:ascii="Times New Roman" w:hAnsi="Times New Roman" w:cs="Times New Roman"/>
          <w:b/>
          <w:bCs/>
          <w:sz w:val="21"/>
          <w:szCs w:val="22"/>
        </w:rPr>
      </w:pPr>
      <w:r>
        <w:rPr>
          <w:rFonts w:hint="eastAsia" w:ascii="Times New Roman" w:hAnsi="Times New Roman" w:cs="Times New Roman"/>
          <w:b/>
          <w:bCs/>
          <w:sz w:val="21"/>
          <w:szCs w:val="22"/>
        </w:rPr>
        <w:t>Materials and Methods</w:t>
      </w:r>
    </w:p>
    <w:p w14:paraId="22A5694D">
      <w:pPr>
        <w:jc w:val="both"/>
        <w:rPr>
          <w:rFonts w:hint="eastAsia" w:ascii="Times New Roman" w:hAnsi="Times New Roman" w:cs="Times New Roman"/>
          <w:sz w:val="21"/>
          <w:szCs w:val="22"/>
        </w:rPr>
      </w:pPr>
      <w:r>
        <w:rPr>
          <w:rFonts w:hint="eastAsia" w:ascii="Times New Roman" w:hAnsi="Times New Roman" w:cs="Times New Roman"/>
          <w:sz w:val="21"/>
          <w:szCs w:val="22"/>
        </w:rPr>
        <w:t>Animal model and treatment</w:t>
      </w:r>
    </w:p>
    <w:p w14:paraId="7BD23E3C">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 xml:space="preserve">Male db/db mice (type 2 diabetes model) and age-matched WT mice were used in this study. Mice were randomly assigned to control and treatment groups. Semaglutide was administered to db/db mice at a dose </w:t>
      </w:r>
      <w:r>
        <w:rPr>
          <w:rFonts w:ascii="Times New Roman" w:hAnsi="Times New Roman" w:cs="Times New Roman"/>
          <w:sz w:val="21"/>
          <w:szCs w:val="22"/>
        </w:rPr>
        <w:t>of 40 μg/kg by subcutaneous injection every 3 days for a total duration of 28 days. Control groups received an e</w:t>
      </w:r>
      <w:r>
        <w:rPr>
          <w:rFonts w:hint="eastAsia" w:ascii="Times New Roman" w:hAnsi="Times New Roman" w:cs="Times New Roman"/>
          <w:sz w:val="21"/>
          <w:szCs w:val="22"/>
        </w:rPr>
        <w:t>qual volume of saline following the same schedule.All animals were maintained under specific pathogen-free (SPF) conditions with free access to food and water.</w:t>
      </w:r>
    </w:p>
    <w:p w14:paraId="2060A5E7">
      <w:pPr>
        <w:jc w:val="both"/>
        <w:rPr>
          <w:rFonts w:hint="eastAsia" w:ascii="Times New Roman" w:hAnsi="Times New Roman" w:cs="Times New Roman"/>
          <w:sz w:val="21"/>
          <w:szCs w:val="22"/>
        </w:rPr>
      </w:pPr>
      <w:r>
        <w:rPr>
          <w:rFonts w:hint="eastAsia" w:ascii="Times New Roman" w:hAnsi="Times New Roman" w:cs="Times New Roman"/>
          <w:sz w:val="21"/>
          <w:szCs w:val="22"/>
        </w:rPr>
        <w:t>16S rRNA gene sequencing and analysis</w:t>
      </w:r>
    </w:p>
    <w:p w14:paraId="1D72A096">
      <w:pPr>
        <w:ind w:firstLine="420" w:firstLineChars="200"/>
        <w:jc w:val="both"/>
        <w:rPr>
          <w:ins w:id="0" w:author="1＆0" w:date="2026-04-28T10:54:23Z"/>
          <w:rFonts w:hint="eastAsia" w:ascii="Times New Roman" w:hAnsi="Times New Roman" w:cs="Times New Roman" w:eastAsiaTheme="minorEastAsia"/>
          <w:i w:val="0"/>
          <w:iCs w:val="0"/>
          <w:caps w:val="0"/>
          <w:color w:val="auto"/>
          <w:spacing w:val="0"/>
          <w:sz w:val="21"/>
          <w:szCs w:val="22"/>
          <w:shd w:val="clear" w:fill="auto"/>
        </w:rPr>
      </w:pPr>
      <w:r>
        <w:rPr>
          <w:rFonts w:hint="eastAsia" w:ascii="Times New Roman" w:hAnsi="Times New Roman" w:cs="Times New Roman"/>
          <w:sz w:val="21"/>
          <w:szCs w:val="22"/>
        </w:rPr>
        <w:t xml:space="preserve">Microbial DNA was extracted from oral samples using a standard extraction protocol. The V3–V4 region of the 16S rRNA gene was amplified and sequenced using </w:t>
      </w:r>
      <w:del w:id="1" w:author="1＆0" w:date="2026-04-09T17:58:18Z">
        <w:r>
          <w:rPr>
            <w:rFonts w:hint="eastAsia" w:ascii="Times New Roman" w:hAnsi="Times New Roman" w:cs="Times New Roman"/>
            <w:sz w:val="21"/>
            <w:szCs w:val="22"/>
          </w:rPr>
          <w:delText xml:space="preserve">an </w:delText>
        </w:r>
      </w:del>
      <w:r>
        <w:rPr>
          <w:rFonts w:hint="eastAsia" w:ascii="Times New Roman" w:hAnsi="Times New Roman" w:cs="Times New Roman"/>
          <w:sz w:val="21"/>
          <w:szCs w:val="22"/>
        </w:rPr>
        <w:t>Illumina</w:t>
      </w:r>
      <w:r>
        <w:rPr>
          <w:rFonts w:hint="eastAsia" w:ascii="Times New Roman" w:hAnsi="Times New Roman" w:cs="Times New Roman"/>
          <w:sz w:val="21"/>
          <w:szCs w:val="22"/>
          <w:lang w:val="en-US" w:eastAsia="zh-CN"/>
        </w:rPr>
        <w:t xml:space="preserve"> </w:t>
      </w:r>
      <w:ins w:id="2" w:author="1＆0" w:date="2026-04-09T17:58:10Z">
        <w:r>
          <w:rPr>
            <w:rFonts w:hint="eastAsia" w:ascii="Times New Roman" w:hAnsi="Times New Roman" w:cs="Times New Roman" w:eastAsiaTheme="minorEastAsia"/>
            <w:i w:val="0"/>
            <w:iCs w:val="0"/>
            <w:caps w:val="0"/>
            <w:color w:val="auto"/>
            <w:spacing w:val="0"/>
            <w:sz w:val="21"/>
            <w:szCs w:val="22"/>
            <w:shd w:val="clear" w:fill="auto"/>
            <w:rPrChange w:id="3" w:author="1＆0" w:date="2026-04-09T17:58:12Z">
              <w:rPr>
                <w:rFonts w:ascii="Arial" w:hAnsi="Arial" w:eastAsia="宋体" w:cs="Arial"/>
                <w:i w:val="0"/>
                <w:iCs w:val="0"/>
                <w:caps w:val="0"/>
                <w:color w:val="262626"/>
                <w:spacing w:val="0"/>
                <w:sz w:val="10"/>
                <w:szCs w:val="10"/>
                <w:shd w:val="clear" w:fill="FFFFFF"/>
              </w:rPr>
            </w:rPrChange>
          </w:rPr>
          <w:t>NovaSeq</w:t>
        </w:r>
      </w:ins>
      <w:r>
        <w:rPr>
          <w:rFonts w:hint="eastAsia" w:ascii="Times New Roman" w:hAnsi="Times New Roman" w:cs="Times New Roman"/>
          <w:sz w:val="21"/>
          <w:szCs w:val="22"/>
        </w:rPr>
        <w:t xml:space="preserve"> platform. Raw reads were processed using a standard pipeline</w:t>
      </w:r>
      <w:ins w:id="4" w:author="1＆0" w:date="2026-04-09T18:21:31Z">
        <w:r>
          <w:rPr>
            <w:rFonts w:hint="eastAsia" w:ascii="Times New Roman" w:hAnsi="Times New Roman" w:cs="Times New Roman"/>
            <w:sz w:val="21"/>
            <w:szCs w:val="22"/>
            <w:lang w:val="en-US" w:eastAsia="zh-CN"/>
          </w:rPr>
          <w:t xml:space="preserve"> </w:t>
        </w:r>
      </w:ins>
      <w:ins w:id="5" w:author="1＆0" w:date="2026-04-09T18:21:34Z">
        <w:r>
          <w:rPr>
            <w:rFonts w:hint="eastAsia" w:ascii="Times New Roman" w:hAnsi="Times New Roman" w:cs="Times New Roman"/>
            <w:sz w:val="21"/>
            <w:szCs w:val="22"/>
            <w:lang w:val="en-US" w:eastAsia="zh-CN"/>
          </w:rPr>
          <w:t>via</w:t>
        </w:r>
      </w:ins>
      <w:ins w:id="6" w:author="1＆0" w:date="2026-04-09T18:21:35Z">
        <w:r>
          <w:rPr>
            <w:rFonts w:hint="eastAsia" w:ascii="Times New Roman" w:hAnsi="Times New Roman" w:cs="Times New Roman"/>
            <w:sz w:val="21"/>
            <w:szCs w:val="22"/>
            <w:lang w:val="en-US" w:eastAsia="zh-CN"/>
          </w:rPr>
          <w:t xml:space="preserve"> </w:t>
        </w:r>
      </w:ins>
      <w:ins w:id="7" w:author="1＆0" w:date="2026-04-09T18:21:37Z">
        <w:r>
          <w:rPr>
            <w:rFonts w:hint="eastAsia" w:ascii="Times New Roman" w:hAnsi="Times New Roman" w:cs="Times New Roman"/>
            <w:sz w:val="21"/>
            <w:szCs w:val="22"/>
            <w:lang w:val="en-US" w:eastAsia="zh-CN"/>
          </w:rPr>
          <w:t>DADA2</w:t>
        </w:r>
      </w:ins>
      <w:r>
        <w:rPr>
          <w:rFonts w:hint="eastAsia" w:ascii="Times New Roman" w:hAnsi="Times New Roman" w:cs="Times New Roman"/>
          <w:sz w:val="21"/>
          <w:szCs w:val="22"/>
        </w:rPr>
        <w:t xml:space="preserve">, including quality </w:t>
      </w:r>
      <w:ins w:id="8" w:author="1＆0" w:date="2026-04-09T17:59:01Z">
        <w:r>
          <w:rPr>
            <w:rFonts w:hint="eastAsia" w:ascii="Times New Roman" w:hAnsi="Times New Roman" w:cs="Times New Roman"/>
            <w:sz w:val="21"/>
            <w:szCs w:val="22"/>
            <w:lang w:val="en-US" w:eastAsia="zh-CN"/>
          </w:rPr>
          <w:t>c</w:t>
        </w:r>
      </w:ins>
      <w:ins w:id="9" w:author="1＆0" w:date="2026-04-09T17:58:58Z">
        <w:r>
          <w:rPr>
            <w:rFonts w:hint="eastAsia" w:ascii="Times New Roman" w:hAnsi="Times New Roman" w:cs="Times New Roman"/>
            <w:sz w:val="21"/>
            <w:szCs w:val="22"/>
            <w:lang w:val="en-US" w:eastAsia="zh-CN"/>
          </w:rPr>
          <w:t>ontrol</w:t>
        </w:r>
      </w:ins>
      <w:del w:id="10" w:author="1＆0" w:date="2026-04-09T17:58:55Z">
        <w:r>
          <w:rPr>
            <w:rFonts w:hint="eastAsia" w:ascii="Times New Roman" w:hAnsi="Times New Roman" w:cs="Times New Roman"/>
            <w:sz w:val="21"/>
            <w:szCs w:val="22"/>
          </w:rPr>
          <w:delText>filtering</w:delText>
        </w:r>
      </w:del>
      <w:r>
        <w:rPr>
          <w:rFonts w:hint="eastAsia" w:ascii="Times New Roman" w:hAnsi="Times New Roman" w:cs="Times New Roman"/>
          <w:sz w:val="21"/>
          <w:szCs w:val="22"/>
        </w:rPr>
        <w:t>, denoising, and chimera removal, to generate amplicon sequence variants (ASVs).</w:t>
      </w:r>
      <w:ins w:id="11" w:author="1＆0" w:date="2026-04-09T18:22:34Z">
        <w:r>
          <w:rPr>
            <w:rFonts w:hint="eastAsia" w:ascii="Times New Roman" w:hAnsi="Times New Roman" w:cs="Times New Roman"/>
            <w:sz w:val="21"/>
            <w:szCs w:val="22"/>
          </w:rPr>
          <w:t xml:space="preserve"> </w:t>
        </w:r>
      </w:ins>
      <w:ins w:id="12" w:author="1＆0" w:date="2026-04-09T18:22:34Z">
        <w:r>
          <w:rPr>
            <w:rFonts w:hint="eastAsia" w:ascii="Times New Roman" w:hAnsi="Times New Roman" w:cs="Times New Roman" w:eastAsiaTheme="minorEastAsia"/>
            <w:i w:val="0"/>
            <w:iCs w:val="0"/>
            <w:caps w:val="0"/>
            <w:spacing w:val="0"/>
            <w:sz w:val="21"/>
            <w:szCs w:val="22"/>
            <w:shd w:val="clear"/>
          </w:rPr>
          <w:t>Taxonomic classification was performed using the SILVA 138 reference database, annotating ASVs to the genus level.</w:t>
        </w:r>
      </w:ins>
      <w:r>
        <w:rPr>
          <w:rFonts w:hint="eastAsia" w:ascii="Times New Roman" w:hAnsi="Times New Roman" w:cs="Times New Roman"/>
          <w:sz w:val="21"/>
          <w:szCs w:val="22"/>
        </w:rPr>
        <w:t xml:space="preserve"> </w:t>
      </w:r>
      <w:ins w:id="13" w:author="1＆0" w:date="2026-04-09T18:23:12Z">
        <w:r>
          <w:rPr>
            <w:rFonts w:hint="eastAsia" w:ascii="Times New Roman" w:hAnsi="Times New Roman" w:cs="Times New Roman" w:eastAsiaTheme="minorEastAsia"/>
            <w:i w:val="0"/>
            <w:iCs w:val="0"/>
            <w:caps w:val="0"/>
            <w:color w:val="auto"/>
            <w:spacing w:val="0"/>
            <w:sz w:val="21"/>
            <w:szCs w:val="22"/>
            <w:shd w:val="clear" w:fill="auto"/>
            <w:rPrChange w:id="14" w:author="1＆0" w:date="2026-04-09T18:23:14Z">
              <w:rPr>
                <w:rFonts w:ascii="Helvetica" w:hAnsi="Helvetica" w:eastAsia="Helvetica" w:cs="Helvetica"/>
                <w:i w:val="0"/>
                <w:iCs w:val="0"/>
                <w:caps w:val="0"/>
                <w:color w:val="333333"/>
                <w:spacing w:val="0"/>
                <w:sz w:val="12"/>
                <w:szCs w:val="12"/>
                <w:shd w:val="clear" w:fill="FFFFFF"/>
              </w:rPr>
            </w:rPrChange>
          </w:rPr>
          <w:t>Alpha diversity</w:t>
        </w:r>
      </w:ins>
      <w:ins w:id="15" w:author="1＆0" w:date="2026-04-09T18:23:25Z">
        <w:r>
          <w:rPr>
            <w:rFonts w:hint="eastAsia" w:ascii="Times New Roman" w:hAnsi="Times New Roman" w:cs="Times New Roman"/>
            <w:i w:val="0"/>
            <w:iCs w:val="0"/>
            <w:caps w:val="0"/>
            <w:spacing w:val="0"/>
            <w:sz w:val="21"/>
            <w:szCs w:val="22"/>
            <w:shd w:val="clear"/>
            <w:lang w:val="en-US" w:eastAsia="zh-CN"/>
          </w:rPr>
          <w:t xml:space="preserve"> </w:t>
        </w:r>
      </w:ins>
      <w:ins w:id="16" w:author="1＆0" w:date="2026-04-09T18:23:12Z">
        <w:r>
          <w:rPr>
            <w:rFonts w:hint="eastAsia" w:ascii="Times New Roman" w:hAnsi="Times New Roman" w:cs="Times New Roman" w:eastAsiaTheme="minorEastAsia"/>
            <w:i w:val="0"/>
            <w:iCs w:val="0"/>
            <w:caps w:val="0"/>
            <w:color w:val="auto"/>
            <w:spacing w:val="0"/>
            <w:sz w:val="21"/>
            <w:szCs w:val="22"/>
            <w:shd w:val="clear" w:fill="auto"/>
            <w:rPrChange w:id="17" w:author="1＆0" w:date="2026-04-09T18:23:14Z">
              <w:rPr>
                <w:rFonts w:ascii="Helvetica" w:hAnsi="Helvetica" w:eastAsia="Helvetica" w:cs="Helvetica"/>
                <w:i w:val="0"/>
                <w:iCs w:val="0"/>
                <w:caps w:val="0"/>
                <w:color w:val="333333"/>
                <w:spacing w:val="0"/>
                <w:sz w:val="12"/>
                <w:szCs w:val="12"/>
                <w:shd w:val="clear" w:fill="FFFFFF"/>
              </w:rPr>
            </w:rPrChange>
          </w:rPr>
          <w:t xml:space="preserve">(Observed ASVs) were calculated from rarefied ASV count tables. Beta diversity was assessed using Bray–Curtis dissimilarity matrices and visualized by principal coordinates analysis (PCoA). Differences in community structure among groups were tested using PERMANOVA </w:t>
        </w:r>
      </w:ins>
      <w:ins w:id="18" w:author="1＆0" w:date="2026-04-09T18:23:53Z">
        <w:r>
          <w:rPr>
            <w:rFonts w:hint="eastAsia" w:ascii="Times New Roman" w:hAnsi="Times New Roman" w:cs="Times New Roman"/>
            <w:i w:val="0"/>
            <w:iCs w:val="0"/>
            <w:caps w:val="0"/>
            <w:spacing w:val="0"/>
            <w:sz w:val="21"/>
            <w:szCs w:val="22"/>
            <w:shd w:val="clear"/>
            <w:lang w:val="en-US" w:eastAsia="zh-CN"/>
          </w:rPr>
          <w:t>with</w:t>
        </w:r>
      </w:ins>
      <w:ins w:id="19" w:author="1＆0" w:date="2026-04-09T18:23:54Z">
        <w:r>
          <w:rPr>
            <w:rFonts w:hint="eastAsia" w:ascii="Times New Roman" w:hAnsi="Times New Roman" w:cs="Times New Roman"/>
            <w:i w:val="0"/>
            <w:iCs w:val="0"/>
            <w:caps w:val="0"/>
            <w:spacing w:val="0"/>
            <w:sz w:val="21"/>
            <w:szCs w:val="22"/>
            <w:shd w:val="clear"/>
            <w:lang w:val="en-US" w:eastAsia="zh-CN"/>
          </w:rPr>
          <w:t xml:space="preserve"> </w:t>
        </w:r>
      </w:ins>
      <w:ins w:id="20" w:author="1＆0" w:date="2026-04-09T18:23:12Z">
        <w:r>
          <w:rPr>
            <w:rFonts w:hint="eastAsia" w:ascii="Times New Roman" w:hAnsi="Times New Roman" w:cs="Times New Roman" w:eastAsiaTheme="minorEastAsia"/>
            <w:i w:val="0"/>
            <w:iCs w:val="0"/>
            <w:caps w:val="0"/>
            <w:color w:val="auto"/>
            <w:spacing w:val="0"/>
            <w:sz w:val="21"/>
            <w:szCs w:val="22"/>
            <w:shd w:val="clear" w:fill="auto"/>
            <w:rPrChange w:id="21" w:author="1＆0" w:date="2026-04-09T18:23:14Z">
              <w:rPr>
                <w:rFonts w:ascii="Helvetica" w:hAnsi="Helvetica" w:eastAsia="Helvetica" w:cs="Helvetica"/>
                <w:i w:val="0"/>
                <w:iCs w:val="0"/>
                <w:caps w:val="0"/>
                <w:color w:val="333333"/>
                <w:spacing w:val="0"/>
                <w:sz w:val="12"/>
                <w:szCs w:val="12"/>
                <w:shd w:val="clear" w:fill="FFFFFF"/>
              </w:rPr>
            </w:rPrChange>
          </w:rPr>
          <w:t>999 permutations.</w:t>
        </w:r>
      </w:ins>
      <w:del w:id="22" w:author="1＆0" w:date="2026-04-09T18:23:11Z">
        <w:r>
          <w:rPr>
            <w:rFonts w:hint="eastAsia" w:ascii="Times New Roman" w:hAnsi="Times New Roman" w:cs="Times New Roman"/>
            <w:sz w:val="21"/>
            <w:szCs w:val="22"/>
          </w:rPr>
          <w:delText>Alpha diversity (observed ASVs) and beta diversity (Bray–Curtis distance) were calculated to assess microbial diversity and community structure. Principal coordinate analysis (PCoA) was used for visualization</w:delText>
        </w:r>
      </w:del>
      <w:r>
        <w:rPr>
          <w:rFonts w:hint="eastAsia" w:ascii="Times New Roman" w:hAnsi="Times New Roman" w:cs="Times New Roman"/>
          <w:sz w:val="21"/>
          <w:szCs w:val="22"/>
        </w:rPr>
        <w:t xml:space="preserve">. </w:t>
      </w:r>
      <w:del w:id="23" w:author="1＆0" w:date="2026-04-09T18:30:55Z">
        <w:r>
          <w:rPr>
            <w:rFonts w:hint="eastAsia" w:ascii="Times New Roman" w:hAnsi="Times New Roman" w:cs="Times New Roman"/>
            <w:sz w:val="21"/>
            <w:szCs w:val="22"/>
          </w:rPr>
          <w:delText>A dysbiosis index was calculated based on centered log-ratio (CLR)-transformed abundance data. Differential abundance at the genus level was analyzed across group</w:delText>
        </w:r>
      </w:del>
      <w:del w:id="24" w:author="1＆0" w:date="2026-04-09T18:30:58Z">
        <w:r>
          <w:rPr>
            <w:rFonts w:hint="eastAsia" w:ascii="Times New Roman" w:hAnsi="Times New Roman" w:cs="Times New Roman"/>
            <w:sz w:val="21"/>
            <w:szCs w:val="22"/>
          </w:rPr>
          <w:delText>s.</w:delText>
        </w:r>
      </w:del>
      <w:ins w:id="25" w:author="1＆0" w:date="2026-04-09T18:24:08Z">
        <w:r>
          <w:rPr>
            <w:rFonts w:hint="eastAsia" w:ascii="Times New Roman" w:hAnsi="Times New Roman" w:cs="Times New Roman" w:eastAsiaTheme="minorEastAsia"/>
            <w:i w:val="0"/>
            <w:iCs w:val="0"/>
            <w:caps w:val="0"/>
            <w:color w:val="auto"/>
            <w:spacing w:val="0"/>
            <w:sz w:val="21"/>
            <w:szCs w:val="22"/>
            <w:shd w:val="clear" w:fill="auto"/>
            <w:rPrChange w:id="26" w:author="1＆0" w:date="2026-04-09T18:24:11Z">
              <w:rPr>
                <w:rFonts w:ascii="Helvetica" w:hAnsi="Helvetica" w:eastAsia="Helvetica" w:cs="Helvetica"/>
                <w:i w:val="0"/>
                <w:iCs w:val="0"/>
                <w:caps w:val="0"/>
                <w:color w:val="333333"/>
                <w:spacing w:val="0"/>
                <w:sz w:val="12"/>
                <w:szCs w:val="12"/>
                <w:shd w:val="clear" w:fill="FFFFFF"/>
              </w:rPr>
            </w:rPrChange>
          </w:rPr>
          <w:t>Microbial community dysbiosis was quantified using the dysbiosisR package. The WT group was designated as the healthy reference community. For each sample, the median Aitchison distance to all reference samples was calculated as the MedianCLV dysbiosis index, where higher values indicate greater deviation from the healthy community composition.</w:t>
        </w:r>
      </w:ins>
    </w:p>
    <w:p w14:paraId="6B903503">
      <w:pPr>
        <w:ind w:firstLine="420" w:firstLineChars="200"/>
        <w:jc w:val="both"/>
        <w:rPr>
          <w:ins w:id="27" w:author="1＆0" w:date="2026-04-28T10:55:01Z"/>
          <w:rFonts w:hint="eastAsia" w:ascii="Times New Roman" w:hAnsi="Times New Roman" w:cs="Times New Roman"/>
          <w:i w:val="0"/>
          <w:iCs w:val="0"/>
          <w:caps w:val="0"/>
          <w:color w:val="auto"/>
          <w:spacing w:val="0"/>
          <w:sz w:val="21"/>
          <w:szCs w:val="22"/>
          <w:shd w:val="clear" w:fill="auto"/>
          <w:lang w:val="en-US" w:eastAsia="zh-CN"/>
        </w:rPr>
      </w:pPr>
      <w:ins w:id="28" w:author="1＆0" w:date="2026-04-28T10:54:24Z">
        <w:r>
          <w:rPr>
            <w:rFonts w:hint="eastAsia" w:ascii="Times New Roman" w:hAnsi="Times New Roman" w:cs="Times New Roman" w:eastAsiaTheme="minorEastAsia"/>
            <w:i w:val="0"/>
            <w:iCs w:val="0"/>
            <w:caps w:val="0"/>
            <w:color w:val="auto"/>
            <w:spacing w:val="0"/>
            <w:sz w:val="21"/>
            <w:szCs w:val="22"/>
            <w:shd w:val="clear" w:fill="auto"/>
          </w:rPr>
          <w:t>Genus-level relative abundances were transformed using the centered log-ratio (CLR) transformation. For each genus, three-group CLR means were computed, and a genus-level rescue score was defined analogously to the gene-level metric</w:t>
        </w:r>
      </w:ins>
      <w:ins w:id="29" w:author="1＆0" w:date="2026-04-28T10:54:59Z">
        <w:r>
          <w:rPr>
            <w:rFonts w:hint="eastAsia" w:ascii="Times New Roman" w:hAnsi="Times New Roman" w:cs="Times New Roman"/>
            <w:i w:val="0"/>
            <w:iCs w:val="0"/>
            <w:caps w:val="0"/>
            <w:color w:val="auto"/>
            <w:spacing w:val="0"/>
            <w:sz w:val="21"/>
            <w:szCs w:val="22"/>
            <w:shd w:val="clear" w:fill="auto"/>
            <w:lang w:val="en-US" w:eastAsia="zh-CN"/>
          </w:rPr>
          <w:t>:</w:t>
        </w:r>
      </w:ins>
    </w:p>
    <w:p w14:paraId="60FE2531">
      <w:pPr>
        <w:ind w:firstLine="420" w:firstLineChars="200"/>
        <w:jc w:val="both"/>
        <w:rPr>
          <w:del w:id="30" w:author="1＆0" w:date="2026-04-28T11:55:17Z"/>
          <w:rFonts w:hint="eastAsia" w:ascii="Times New Roman" w:hAnsi="Times New Roman" w:cs="Times New Roman"/>
          <w:i w:val="0"/>
          <w:iCs w:val="0"/>
          <w:caps w:val="0"/>
          <w:color w:val="auto"/>
          <w:spacing w:val="0"/>
          <w:sz w:val="21"/>
          <w:szCs w:val="22"/>
          <w:shd w:val="clear" w:fill="auto"/>
          <w:lang w:val="en-US" w:eastAsia="zh-CN"/>
        </w:rPr>
      </w:pPr>
      <m:oMathPara>
        <m:oMath>
          <m:sSub>
            <m:sSubPr>
              <m:ctrlPr>
                <w:ins w:id="31" w:author="1＆0" w:date="2026-04-28T10:56:05Z">
                  <w:rPr>
                    <w:rFonts w:hint="default" w:ascii="Cambria Math" w:hAnsi="Cambria Math" w:eastAsia="Lucida Console" w:cs="Times New Roman"/>
                    <w:sz w:val="21"/>
                    <w:szCs w:val="21"/>
                    <w:rPrChange w:id="32" w:author="1＆0" w:date="2026-04-28T10:56:28Z">
                      <w:rPr>
                        <w:rFonts w:hint="default" w:ascii="Cambria Math" w:hAnsi="Cambria Math" w:eastAsia="Lucida Console"/>
                        <w:sz w:val="12"/>
                      </w:rPr>
                    </w:rPrChange>
                  </w:rPr>
                </w:ins>
              </m:ctrlPr>
            </m:sSubPr>
            <m:e>
              <w:ins w:id="33" w:author="1＆0" w:date="2026-04-28T10:56:05Z">
                <m:r>
                  <m:rPr>
                    <m:nor/>
                  </m:rPr>
                  <w:rPr>
                    <w:rFonts w:hint="default" w:ascii="Times New Roman" w:hAnsi="Times New Roman" w:eastAsia="Lucida Console" w:cs="Times New Roman"/>
                    <w:i/>
                    <w:sz w:val="21"/>
                    <w:szCs w:val="21"/>
                    <w:rPrChange w:id="34" w:author="1＆0" w:date="2026-04-28T10:56:28Z">
                      <w:rPr>
                        <w:rFonts w:hint="default" w:ascii="Cambria Math" w:hAnsi="Cambria Math" w:eastAsia="Lucida Console"/>
                        <w:i/>
                        <w:sz w:val="12"/>
                      </w:rPr>
                    </w:rPrChange>
                  </w:rPr>
                  <m:t>Rescue</m:t>
                </m:r>
              </w:ins>
              <w:ins w:id="35" w:author="1＆0" w:date="2026-04-28T10:56:05Z">
                <m:r>
                  <m:rPr>
                    <m:nor/>
                    <m:sty m:val="p"/>
                  </m:rPr>
                  <w:rPr>
                    <w:rFonts w:hint="default" w:ascii="Times New Roman" w:hAnsi="Times New Roman" w:eastAsia="Lucida Console" w:cs="Times New Roman"/>
                    <w:b w:val="0"/>
                    <w:i w:val="0"/>
                    <w:sz w:val="21"/>
                    <w:szCs w:val="21"/>
                    <w:rPrChange w:id="36" w:author="1＆0" w:date="2026-04-28T10:56:28Z">
                      <w:rPr>
                        <w:rFonts w:hint="default" w:ascii="Cambria Math" w:hAnsi="Cambria Math" w:eastAsia="Lucida Console"/>
                        <w:b w:val="0"/>
                        <w:i w:val="0"/>
                        <w:sz w:val="12"/>
                      </w:rPr>
                    </w:rPrChange>
                  </w:rPr>
                  <m:t xml:space="preserve"> </m:t>
                </m:r>
              </w:ins>
              <w:ins w:id="37" w:author="1＆0" w:date="2026-04-28T10:56:05Z">
                <m:r>
                  <m:rPr>
                    <m:nor/>
                  </m:rPr>
                  <w:rPr>
                    <w:rFonts w:hint="default" w:ascii="Times New Roman" w:hAnsi="Times New Roman" w:eastAsia="Lucida Console" w:cs="Times New Roman"/>
                    <w:i/>
                    <w:sz w:val="21"/>
                    <w:szCs w:val="21"/>
                    <w:rPrChange w:id="38" w:author="1＆0" w:date="2026-04-28T10:56:28Z">
                      <w:rPr>
                        <w:rFonts w:hint="default" w:ascii="Cambria Math" w:hAnsi="Cambria Math" w:eastAsia="Lucida Console"/>
                        <w:i/>
                        <w:sz w:val="12"/>
                      </w:rPr>
                    </w:rPrChange>
                  </w:rPr>
                  <m:t>Score</m:t>
                </m:r>
              </w:ins>
              <m:ctrlPr>
                <w:ins w:id="39" w:author="1＆0" w:date="2026-04-28T10:56:05Z">
                  <w:rPr>
                    <w:rFonts w:ascii="Cambria Math" w:hAnsi="Cambria Math" w:eastAsia="Lucida Console" w:cs="Times New Roman"/>
                    <w:sz w:val="21"/>
                    <w:szCs w:val="21"/>
                    <w:rPrChange w:id="40" w:author="1＆0" w:date="2026-04-28T10:56:28Z">
                      <w:rPr>
                        <w:rFonts w:ascii="Cambria Math" w:hAnsi="Cambria Math" w:eastAsia="Lucida Console"/>
                        <w:sz w:val="12"/>
                      </w:rPr>
                    </w:rPrChange>
                  </w:rPr>
                </w:ins>
              </m:ctrlPr>
            </m:e>
            <m:sub>
              <w:ins w:id="41" w:author="1＆0" w:date="2026-04-28T10:56:05Z">
                <m:r>
                  <m:rPr>
                    <m:nor/>
                  </m:rPr>
                  <w:rPr>
                    <w:rFonts w:hint="default" w:ascii="Times New Roman" w:hAnsi="Times New Roman" w:eastAsia="Lucida Console" w:cs="Times New Roman"/>
                    <w:i/>
                    <w:sz w:val="21"/>
                    <w:szCs w:val="21"/>
                    <w:rPrChange w:id="42" w:author="1＆0" w:date="2026-04-28T10:56:28Z">
                      <w:rPr>
                        <w:rFonts w:hint="default" w:ascii="Cambria Math" w:hAnsi="Cambria Math" w:eastAsia="Lucida Console"/>
                        <w:i/>
                        <w:sz w:val="12"/>
                      </w:rPr>
                    </w:rPrChange>
                  </w:rPr>
                  <m:t>genus</m:t>
                </m:r>
              </w:ins>
              <m:ctrlPr>
                <w:ins w:id="43" w:author="1＆0" w:date="2026-04-28T10:56:05Z">
                  <w:rPr>
                    <w:rFonts w:ascii="Cambria Math" w:hAnsi="Cambria Math" w:eastAsia="Lucida Console" w:cs="Times New Roman"/>
                    <w:sz w:val="21"/>
                    <w:szCs w:val="21"/>
                    <w:rPrChange w:id="44" w:author="1＆0" w:date="2026-04-28T10:56:28Z">
                      <w:rPr>
                        <w:rFonts w:ascii="Cambria Math" w:hAnsi="Cambria Math" w:eastAsia="Lucida Console"/>
                        <w:sz w:val="12"/>
                      </w:rPr>
                    </w:rPrChange>
                  </w:rPr>
                </w:ins>
              </m:ctrlPr>
            </m:sub>
          </m:sSub>
          <w:ins w:id="45" w:author="1＆0" w:date="2026-04-28T10:56:05Z">
            <m:r>
              <m:rPr>
                <m:nor/>
                <m:sty m:val="p"/>
              </m:rPr>
              <w:rPr>
                <w:rFonts w:hint="default" w:ascii="Times New Roman" w:hAnsi="Times New Roman" w:eastAsia="Lucida Console" w:cs="Times New Roman"/>
                <w:b w:val="0"/>
                <w:i w:val="0"/>
                <w:sz w:val="21"/>
                <w:szCs w:val="21"/>
                <w:rPrChange w:id="46" w:author="1＆0" w:date="2026-04-28T10:56:28Z">
                  <w:rPr>
                    <w:rFonts w:hint="default" w:ascii="Cambria Math" w:hAnsi="Cambria Math" w:eastAsia="Lucida Console"/>
                    <w:b w:val="0"/>
                    <w:i w:val="0"/>
                    <w:sz w:val="12"/>
                  </w:rPr>
                </w:rPrChange>
              </w:rPr>
              <m:t>=−</m:t>
            </m:r>
          </w:ins>
          <m:f>
            <m:fPr>
              <m:ctrlPr>
                <w:ins w:id="47" w:author="1＆0" w:date="2026-04-28T10:56:05Z">
                  <w:rPr>
                    <w:rFonts w:hint="default" w:ascii="Cambria Math" w:hAnsi="Cambria Math" w:eastAsia="Lucida Console" w:cs="Times New Roman"/>
                    <w:i/>
                    <w:sz w:val="21"/>
                    <w:szCs w:val="21"/>
                    <w:rPrChange w:id="48" w:author="1＆0" w:date="2026-04-28T10:56:28Z">
                      <w:rPr>
                        <w:rFonts w:hint="default" w:ascii="Cambria Math" w:hAnsi="Cambria Math" w:eastAsia="Lucida Console"/>
                        <w:i/>
                        <w:sz w:val="12"/>
                      </w:rPr>
                    </w:rPrChange>
                  </w:rPr>
                </w:ins>
              </m:ctrlPr>
            </m:fPr>
            <m:num>
              <m:sSub>
                <m:sSubPr>
                  <m:ctrlPr>
                    <w:ins w:id="49" w:author="1＆0" w:date="2026-04-28T10:56:05Z">
                      <w:rPr>
                        <w:rFonts w:hint="default" w:ascii="Cambria Math" w:hAnsi="Cambria Math" w:eastAsia="Lucida Console" w:cs="Times New Roman"/>
                        <w:sz w:val="21"/>
                        <w:szCs w:val="21"/>
                        <w:rPrChange w:id="50" w:author="1＆0" w:date="2026-04-28T10:56:28Z">
                          <w:rPr>
                            <w:rFonts w:hint="default" w:ascii="Cambria Math" w:hAnsi="Cambria Math" w:eastAsia="Lucida Console"/>
                            <w:sz w:val="12"/>
                          </w:rPr>
                        </w:rPrChange>
                      </w:rPr>
                    </w:ins>
                  </m:ctrlPr>
                </m:sSubPr>
                <m:e>
                  <w:ins w:id="51" w:author="1＆0" w:date="2026-04-28T10:56:05Z">
                    <m:r>
                      <m:rPr>
                        <m:nor/>
                        <m:sty m:val="p"/>
                      </m:rPr>
                      <w:rPr>
                        <w:rFonts w:hint="default" w:ascii="Times New Roman" w:hAnsi="Times New Roman" w:eastAsia="Lucida Console" w:cs="Times New Roman"/>
                        <w:b w:val="0"/>
                        <w:i w:val="0"/>
                        <w:sz w:val="21"/>
                        <w:szCs w:val="21"/>
                        <w:rPrChange w:id="52" w:author="1＆0" w:date="2026-04-28T10:56:28Z">
                          <w:rPr>
                            <w:rFonts w:hint="default" w:ascii="Cambria Math" w:hAnsi="Cambria Math" w:eastAsia="Lucida Console"/>
                            <w:b w:val="0"/>
                            <w:i w:val="0"/>
                            <w:sz w:val="12"/>
                          </w:rPr>
                        </w:rPrChange>
                      </w:rPr>
                      <m:t>Δ</m:t>
                    </m:r>
                  </w:ins>
                  <m:ctrlPr>
                    <w:ins w:id="53" w:author="1＆0" w:date="2026-04-28T10:56:05Z">
                      <w:rPr>
                        <w:rFonts w:ascii="Cambria Math" w:hAnsi="Cambria Math" w:eastAsia="Lucida Console" w:cs="Times New Roman"/>
                        <w:sz w:val="21"/>
                        <w:szCs w:val="21"/>
                        <w:rPrChange w:id="54" w:author="1＆0" w:date="2026-04-28T10:56:28Z">
                          <w:rPr>
                            <w:rFonts w:ascii="Cambria Math" w:hAnsi="Cambria Math" w:eastAsia="Lucida Console"/>
                            <w:sz w:val="12"/>
                          </w:rPr>
                        </w:rPrChange>
                      </w:rPr>
                    </w:ins>
                  </m:ctrlPr>
                </m:e>
                <m:sub>
                  <w:ins w:id="55" w:author="1＆0" w:date="2026-04-28T10:56:05Z">
                    <m:r>
                      <m:rPr>
                        <m:nor/>
                      </m:rPr>
                      <w:rPr>
                        <w:rFonts w:hint="default" w:ascii="Times New Roman" w:hAnsi="Times New Roman" w:eastAsia="Lucida Console" w:cs="Times New Roman"/>
                        <w:i/>
                        <w:sz w:val="21"/>
                        <w:szCs w:val="21"/>
                        <w:rPrChange w:id="56" w:author="1＆0" w:date="2026-04-28T10:56:28Z">
                          <w:rPr>
                            <w:rFonts w:hint="default" w:ascii="Cambria Math" w:hAnsi="Cambria Math" w:eastAsia="Lucida Console"/>
                            <w:i/>
                            <w:sz w:val="12"/>
                          </w:rPr>
                        </w:rPrChange>
                      </w:rPr>
                      <m:t>treat</m:t>
                    </m:r>
                  </w:ins>
                  <m:ctrlPr>
                    <w:ins w:id="57" w:author="1＆0" w:date="2026-04-28T10:56:05Z">
                      <w:rPr>
                        <w:rFonts w:ascii="Cambria Math" w:hAnsi="Cambria Math" w:eastAsia="Lucida Console" w:cs="Times New Roman"/>
                        <w:sz w:val="21"/>
                        <w:szCs w:val="21"/>
                        <w:rPrChange w:id="58" w:author="1＆0" w:date="2026-04-28T10:56:28Z">
                          <w:rPr>
                            <w:rFonts w:ascii="Cambria Math" w:hAnsi="Cambria Math" w:eastAsia="Lucida Console"/>
                            <w:sz w:val="12"/>
                          </w:rPr>
                        </w:rPrChange>
                      </w:rPr>
                    </w:ins>
                  </m:ctrlPr>
                </m:sub>
              </m:sSub>
              <m:ctrlPr>
                <w:ins w:id="59" w:author="1＆0" w:date="2026-04-28T10:56:05Z">
                  <w:rPr>
                    <w:rFonts w:hint="default" w:ascii="Cambria Math" w:hAnsi="Cambria Math" w:eastAsia="Lucida Console" w:cs="Times New Roman"/>
                    <w:sz w:val="21"/>
                    <w:szCs w:val="21"/>
                    <w:rPrChange w:id="60" w:author="1＆0" w:date="2026-04-28T10:56:28Z">
                      <w:rPr>
                        <w:rFonts w:hint="default" w:ascii="Cambria Math" w:hAnsi="Cambria Math" w:eastAsia="Lucida Console"/>
                        <w:sz w:val="12"/>
                      </w:rPr>
                    </w:rPrChange>
                  </w:rPr>
                </w:ins>
              </m:ctrlPr>
            </m:num>
            <m:den>
              <m:sSub>
                <m:sSubPr>
                  <m:ctrlPr>
                    <w:ins w:id="61" w:author="1＆0" w:date="2026-04-28T10:56:05Z">
                      <w:rPr>
                        <w:rFonts w:hint="default" w:ascii="Cambria Math" w:hAnsi="Cambria Math" w:eastAsia="Lucida Console" w:cs="Times New Roman"/>
                        <w:sz w:val="21"/>
                        <w:szCs w:val="21"/>
                        <w:rPrChange w:id="62" w:author="1＆0" w:date="2026-04-28T10:56:28Z">
                          <w:rPr>
                            <w:rFonts w:hint="default" w:ascii="Cambria Math" w:hAnsi="Cambria Math" w:eastAsia="Lucida Console"/>
                            <w:sz w:val="12"/>
                          </w:rPr>
                        </w:rPrChange>
                      </w:rPr>
                    </w:ins>
                  </m:ctrlPr>
                </m:sSubPr>
                <m:e>
                  <w:ins w:id="63" w:author="1＆0" w:date="2026-04-28T10:56:05Z">
                    <m:r>
                      <m:rPr>
                        <m:nor/>
                        <m:sty m:val="p"/>
                      </m:rPr>
                      <w:rPr>
                        <w:rFonts w:hint="default" w:ascii="Times New Roman" w:hAnsi="Times New Roman" w:eastAsia="Lucida Console" w:cs="Times New Roman"/>
                        <w:b w:val="0"/>
                        <w:i w:val="0"/>
                        <w:sz w:val="21"/>
                        <w:szCs w:val="21"/>
                        <w:rPrChange w:id="64" w:author="1＆0" w:date="2026-04-28T10:56:28Z">
                          <w:rPr>
                            <w:rFonts w:hint="default" w:ascii="Cambria Math" w:hAnsi="Cambria Math" w:eastAsia="Lucida Console"/>
                            <w:b w:val="0"/>
                            <w:i w:val="0"/>
                            <w:sz w:val="12"/>
                          </w:rPr>
                        </w:rPrChange>
                      </w:rPr>
                      <m:t>Δ</m:t>
                    </m:r>
                  </w:ins>
                  <m:ctrlPr>
                    <w:ins w:id="65" w:author="1＆0" w:date="2026-04-28T10:56:05Z">
                      <w:rPr>
                        <w:rFonts w:ascii="Cambria Math" w:hAnsi="Cambria Math" w:eastAsia="Lucida Console" w:cs="Times New Roman"/>
                        <w:sz w:val="21"/>
                        <w:szCs w:val="21"/>
                        <w:rPrChange w:id="66" w:author="1＆0" w:date="2026-04-28T10:56:28Z">
                          <w:rPr>
                            <w:rFonts w:ascii="Cambria Math" w:hAnsi="Cambria Math" w:eastAsia="Lucida Console"/>
                            <w:sz w:val="12"/>
                          </w:rPr>
                        </w:rPrChange>
                      </w:rPr>
                    </w:ins>
                  </m:ctrlPr>
                </m:e>
                <m:sub>
                  <w:ins w:id="67" w:author="1＆0" w:date="2026-04-28T10:56:05Z">
                    <m:r>
                      <m:rPr>
                        <m:nor/>
                      </m:rPr>
                      <w:rPr>
                        <w:rFonts w:hint="default" w:ascii="Times New Roman" w:hAnsi="Times New Roman" w:eastAsia="Lucida Console" w:cs="Times New Roman"/>
                        <w:i/>
                        <w:sz w:val="21"/>
                        <w:szCs w:val="21"/>
                        <w:rPrChange w:id="68" w:author="1＆0" w:date="2026-04-28T10:56:28Z">
                          <w:rPr>
                            <w:rFonts w:hint="default" w:ascii="Cambria Math" w:hAnsi="Cambria Math" w:eastAsia="Lucida Console"/>
                            <w:i/>
                            <w:sz w:val="12"/>
                          </w:rPr>
                        </w:rPrChange>
                      </w:rPr>
                      <m:t>disease</m:t>
                    </m:r>
                  </w:ins>
                  <m:ctrlPr>
                    <w:ins w:id="69" w:author="1＆0" w:date="2026-04-28T10:56:05Z">
                      <w:rPr>
                        <w:rFonts w:ascii="Cambria Math" w:hAnsi="Cambria Math" w:eastAsia="Lucida Console" w:cs="Times New Roman"/>
                        <w:sz w:val="21"/>
                        <w:szCs w:val="21"/>
                        <w:rPrChange w:id="70" w:author="1＆0" w:date="2026-04-28T10:56:28Z">
                          <w:rPr>
                            <w:rFonts w:ascii="Cambria Math" w:hAnsi="Cambria Math" w:eastAsia="Lucida Console"/>
                            <w:sz w:val="12"/>
                          </w:rPr>
                        </w:rPrChange>
                      </w:rPr>
                    </w:ins>
                  </m:ctrlPr>
                </m:sub>
              </m:sSub>
              <m:ctrlPr>
                <w:ins w:id="71" w:author="1＆0" w:date="2026-04-28T10:56:05Z">
                  <w:rPr>
                    <w:rFonts w:hint="default" w:ascii="Cambria Math" w:hAnsi="Cambria Math" w:eastAsia="Lucida Console" w:cs="Times New Roman"/>
                    <w:sz w:val="21"/>
                    <w:szCs w:val="21"/>
                    <w:rPrChange w:id="72" w:author="1＆0" w:date="2026-04-28T10:56:28Z">
                      <w:rPr>
                        <w:rFonts w:hint="default" w:ascii="Cambria Math" w:hAnsi="Cambria Math" w:eastAsia="Lucida Console"/>
                        <w:sz w:val="12"/>
                      </w:rPr>
                    </w:rPrChange>
                  </w:rPr>
                </w:ins>
              </m:ctrlPr>
            </m:den>
          </m:f>
          <w:ins w:id="73" w:author="1＆0" w:date="2026-04-28T10:56:05Z">
            <m:r>
              <m:rPr>
                <m:nor/>
                <m:sty m:val="p"/>
              </m:rPr>
              <w:rPr>
                <w:rFonts w:hint="default" w:ascii="Times New Roman" w:hAnsi="Times New Roman" w:eastAsia="Lucida Console" w:cs="Times New Roman"/>
                <w:b w:val="0"/>
                <w:i w:val="0"/>
                <w:sz w:val="21"/>
                <w:szCs w:val="21"/>
                <w:rPrChange w:id="74" w:author="1＆0" w:date="2026-04-28T10:56:28Z">
                  <w:rPr>
                    <w:rFonts w:hint="default" w:ascii="Cambria Math" w:hAnsi="Cambria Math" w:eastAsia="Lucida Console"/>
                    <w:b w:val="0"/>
                    <w:i w:val="0"/>
                    <w:sz w:val="12"/>
                  </w:rPr>
                </w:rPrChange>
              </w:rPr>
              <m:t>=−</m:t>
            </m:r>
          </w:ins>
          <m:f>
            <m:fPr>
              <m:ctrlPr>
                <w:ins w:id="75" w:author="1＆0" w:date="2026-04-28T10:56:05Z">
                  <w:rPr>
                    <w:rFonts w:hint="default" w:ascii="Cambria Math" w:hAnsi="Cambria Math" w:eastAsia="Lucida Console" w:cs="Times New Roman"/>
                    <w:i/>
                    <w:sz w:val="21"/>
                    <w:szCs w:val="21"/>
                    <w:rPrChange w:id="76" w:author="1＆0" w:date="2026-04-28T10:56:28Z">
                      <w:rPr>
                        <w:rFonts w:hint="default" w:ascii="Cambria Math" w:hAnsi="Cambria Math" w:eastAsia="Lucida Console"/>
                        <w:i/>
                        <w:sz w:val="12"/>
                      </w:rPr>
                    </w:rPrChange>
                  </w:rPr>
                </w:ins>
              </m:ctrlPr>
            </m:fPr>
            <m:num>
              <m:sSub>
                <m:sSubPr>
                  <m:ctrlPr>
                    <w:ins w:id="77" w:author="1＆0" w:date="2026-04-28T10:56:05Z">
                      <w:rPr>
                        <w:rFonts w:hint="default" w:ascii="Cambria Math" w:hAnsi="Cambria Math" w:eastAsia="Lucida Console" w:cs="Times New Roman"/>
                        <w:sz w:val="21"/>
                        <w:szCs w:val="21"/>
                        <w:rPrChange w:id="78" w:author="1＆0" w:date="2026-04-28T10:56:28Z">
                          <w:rPr>
                            <w:rFonts w:hint="default" w:ascii="Cambria Math" w:hAnsi="Cambria Math" w:eastAsia="Lucida Console"/>
                            <w:sz w:val="12"/>
                          </w:rPr>
                        </w:rPrChange>
                      </w:rPr>
                    </w:ins>
                  </m:ctrlPr>
                </m:sSubPr>
                <m:e>
                  <m:bar>
                    <m:barPr>
                      <m:pos m:val="top"/>
                      <m:ctrlPr>
                        <w:ins w:id="79" w:author="1＆0" w:date="2026-04-28T10:56:05Z">
                          <w:rPr>
                            <w:rFonts w:ascii="Cambria Math" w:hAnsi="Cambria Math" w:eastAsia="Lucida Console" w:cs="Times New Roman"/>
                            <w:sz w:val="21"/>
                            <w:szCs w:val="21"/>
                            <w:rPrChange w:id="80" w:author="1＆0" w:date="2026-04-28T10:56:28Z">
                              <w:rPr>
                                <w:rFonts w:ascii="Cambria Math" w:hAnsi="Cambria Math" w:eastAsia="Lucida Console"/>
                                <w:sz w:val="12"/>
                              </w:rPr>
                            </w:rPrChange>
                          </w:rPr>
                        </w:ins>
                      </m:ctrlPr>
                    </m:barPr>
                    <m:e>
                      <w:ins w:id="81" w:author="1＆0" w:date="2026-04-28T10:56:05Z">
                        <m:r>
                          <m:rPr>
                            <m:nor/>
                          </m:rPr>
                          <w:rPr>
                            <w:rFonts w:hint="default" w:ascii="Times New Roman" w:hAnsi="Times New Roman" w:eastAsia="Lucida Console" w:cs="Times New Roman"/>
                            <w:i/>
                            <w:sz w:val="21"/>
                            <w:szCs w:val="21"/>
                            <w:rPrChange w:id="82" w:author="1＆0" w:date="2026-04-28T10:56:28Z">
                              <w:rPr>
                                <w:rFonts w:hint="default" w:ascii="Cambria Math" w:hAnsi="Cambria Math" w:eastAsia="Lucida Console"/>
                                <w:i/>
                                <w:sz w:val="12"/>
                              </w:rPr>
                            </w:rPrChange>
                          </w:rPr>
                          <m:t>CLR</m:t>
                        </m:r>
                      </w:ins>
                      <m:ctrlPr>
                        <w:ins w:id="83" w:author="1＆0" w:date="2026-04-28T10:56:05Z">
                          <w:rPr>
                            <w:rFonts w:ascii="Cambria Math" w:hAnsi="Cambria Math" w:eastAsia="Lucida Console" w:cs="Times New Roman"/>
                            <w:sz w:val="21"/>
                            <w:szCs w:val="21"/>
                            <w:rPrChange w:id="84" w:author="1＆0" w:date="2026-04-28T10:56:28Z">
                              <w:rPr>
                                <w:rFonts w:ascii="Cambria Math" w:hAnsi="Cambria Math" w:eastAsia="Lucida Console"/>
                                <w:sz w:val="12"/>
                              </w:rPr>
                            </w:rPrChange>
                          </w:rPr>
                        </w:ins>
                      </m:ctrlPr>
                    </m:e>
                  </m:bar>
                  <m:ctrlPr>
                    <w:ins w:id="85" w:author="1＆0" w:date="2026-04-28T10:56:05Z">
                      <w:rPr>
                        <w:rFonts w:ascii="Cambria Math" w:hAnsi="Cambria Math" w:eastAsia="Lucida Console" w:cs="Times New Roman"/>
                        <w:sz w:val="21"/>
                        <w:szCs w:val="21"/>
                        <w:rPrChange w:id="86" w:author="1＆0" w:date="2026-04-28T10:56:28Z">
                          <w:rPr>
                            <w:rFonts w:ascii="Cambria Math" w:hAnsi="Cambria Math" w:eastAsia="Lucida Console"/>
                            <w:sz w:val="12"/>
                          </w:rPr>
                        </w:rPrChange>
                      </w:rPr>
                    </w:ins>
                  </m:ctrlPr>
                </m:e>
                <m:sub>
                  <w:ins w:id="87" w:author="1＆0" w:date="2026-04-28T10:56:05Z">
                    <m:r>
                      <m:rPr>
                        <m:nor/>
                      </m:rPr>
                      <w:rPr>
                        <w:rFonts w:hint="default" w:ascii="Times New Roman" w:hAnsi="Times New Roman" w:eastAsia="Lucida Console" w:cs="Times New Roman"/>
                        <w:i/>
                        <w:sz w:val="21"/>
                        <w:szCs w:val="21"/>
                        <w:rPrChange w:id="88" w:author="1＆0" w:date="2026-04-28T10:56:28Z">
                          <w:rPr>
                            <w:rFonts w:hint="default" w:ascii="Cambria Math" w:hAnsi="Cambria Math" w:eastAsia="Lucida Console"/>
                            <w:i/>
                            <w:sz w:val="12"/>
                          </w:rPr>
                        </w:rPrChange>
                      </w:rPr>
                      <m:t>DB</m:t>
                    </m:r>
                  </w:ins>
                  <w:ins w:id="89" w:author="1＆0" w:date="2026-04-28T10:56:05Z">
                    <m:r>
                      <m:rPr>
                        <m:nor/>
                        <m:sty m:val="p"/>
                      </m:rPr>
                      <w:rPr>
                        <w:rFonts w:hint="default" w:ascii="Times New Roman" w:hAnsi="Times New Roman" w:eastAsia="Lucida Console" w:cs="Times New Roman"/>
                        <w:b w:val="0"/>
                        <w:i w:val="0"/>
                        <w:sz w:val="21"/>
                        <w:szCs w:val="21"/>
                        <w:rPrChange w:id="90" w:author="1＆0" w:date="2026-04-28T10:56:28Z">
                          <w:rPr>
                            <w:rFonts w:hint="default" w:ascii="Cambria Math" w:hAnsi="Cambria Math" w:eastAsia="Lucida Console"/>
                            <w:b w:val="0"/>
                            <w:i w:val="0"/>
                            <w:sz w:val="12"/>
                          </w:rPr>
                        </w:rPrChange>
                      </w:rPr>
                      <m:t>_</m:t>
                    </m:r>
                  </w:ins>
                  <w:ins w:id="91" w:author="1＆0" w:date="2026-04-28T10:56:05Z">
                    <m:r>
                      <m:rPr>
                        <m:nor/>
                      </m:rPr>
                      <w:rPr>
                        <w:rFonts w:hint="default" w:ascii="Times New Roman" w:hAnsi="Times New Roman" w:eastAsia="Lucida Console" w:cs="Times New Roman"/>
                        <w:i/>
                        <w:sz w:val="21"/>
                        <w:szCs w:val="21"/>
                        <w:rPrChange w:id="92" w:author="1＆0" w:date="2026-04-28T10:56:28Z">
                          <w:rPr>
                            <w:rFonts w:hint="default" w:ascii="Cambria Math" w:hAnsi="Cambria Math" w:eastAsia="Lucida Console"/>
                            <w:i/>
                            <w:sz w:val="12"/>
                          </w:rPr>
                        </w:rPrChange>
                      </w:rPr>
                      <m:t>Treated</m:t>
                    </m:r>
                  </w:ins>
                  <m:ctrlPr>
                    <w:ins w:id="93" w:author="1＆0" w:date="2026-04-28T10:56:05Z">
                      <w:rPr>
                        <w:rFonts w:ascii="Cambria Math" w:hAnsi="Cambria Math" w:eastAsia="Lucida Console" w:cs="Times New Roman"/>
                        <w:sz w:val="21"/>
                        <w:szCs w:val="21"/>
                        <w:rPrChange w:id="94" w:author="1＆0" w:date="2026-04-28T10:56:28Z">
                          <w:rPr>
                            <w:rFonts w:ascii="Cambria Math" w:hAnsi="Cambria Math" w:eastAsia="Lucida Console"/>
                            <w:sz w:val="12"/>
                          </w:rPr>
                        </w:rPrChange>
                      </w:rPr>
                    </w:ins>
                  </m:ctrlPr>
                </m:sub>
              </m:sSub>
              <w:ins w:id="95" w:author="1＆0" w:date="2026-04-28T10:56:05Z">
                <m:r>
                  <m:rPr>
                    <m:nor/>
                    <m:sty m:val="p"/>
                  </m:rPr>
                  <w:rPr>
                    <w:rFonts w:hint="default" w:ascii="Times New Roman" w:hAnsi="Times New Roman" w:eastAsia="Lucida Console" w:cs="Times New Roman"/>
                    <w:b w:val="0"/>
                    <w:i w:val="0"/>
                    <w:sz w:val="21"/>
                    <w:szCs w:val="21"/>
                    <w:rPrChange w:id="96" w:author="1＆0" w:date="2026-04-28T10:56:28Z">
                      <w:rPr>
                        <w:rFonts w:hint="default" w:ascii="Cambria Math" w:hAnsi="Cambria Math" w:eastAsia="Lucida Console"/>
                        <w:b w:val="0"/>
                        <w:i w:val="0"/>
                        <w:sz w:val="12"/>
                      </w:rPr>
                    </w:rPrChange>
                  </w:rPr>
                  <m:t>−</m:t>
                </m:r>
              </w:ins>
              <m:sSub>
                <m:sSubPr>
                  <m:ctrlPr>
                    <w:ins w:id="97" w:author="1＆0" w:date="2026-04-28T10:56:05Z">
                      <w:rPr>
                        <w:rFonts w:hint="default" w:ascii="Cambria Math" w:hAnsi="Cambria Math" w:eastAsia="Lucida Console" w:cs="Times New Roman"/>
                        <w:sz w:val="21"/>
                        <w:szCs w:val="21"/>
                        <w:rPrChange w:id="98" w:author="1＆0" w:date="2026-04-28T10:56:28Z">
                          <w:rPr>
                            <w:rFonts w:hint="default" w:ascii="Cambria Math" w:hAnsi="Cambria Math" w:eastAsia="Lucida Console"/>
                            <w:sz w:val="12"/>
                          </w:rPr>
                        </w:rPrChange>
                      </w:rPr>
                    </w:ins>
                  </m:ctrlPr>
                </m:sSubPr>
                <m:e>
                  <m:bar>
                    <m:barPr>
                      <m:pos m:val="top"/>
                      <m:ctrlPr>
                        <w:ins w:id="99" w:author="1＆0" w:date="2026-04-28T10:56:05Z">
                          <w:rPr>
                            <w:rFonts w:ascii="Cambria Math" w:hAnsi="Cambria Math" w:eastAsia="Lucida Console" w:cs="Times New Roman"/>
                            <w:sz w:val="21"/>
                            <w:szCs w:val="21"/>
                            <w:rPrChange w:id="100" w:author="1＆0" w:date="2026-04-28T10:56:28Z">
                              <w:rPr>
                                <w:rFonts w:ascii="Cambria Math" w:hAnsi="Cambria Math" w:eastAsia="Lucida Console"/>
                                <w:sz w:val="12"/>
                              </w:rPr>
                            </w:rPrChange>
                          </w:rPr>
                        </w:ins>
                      </m:ctrlPr>
                    </m:barPr>
                    <m:e>
                      <w:ins w:id="101" w:author="1＆0" w:date="2026-04-28T10:56:05Z">
                        <m:r>
                          <m:rPr>
                            <m:nor/>
                          </m:rPr>
                          <w:rPr>
                            <w:rFonts w:hint="default" w:ascii="Times New Roman" w:hAnsi="Times New Roman" w:eastAsia="Lucida Console" w:cs="Times New Roman"/>
                            <w:i/>
                            <w:sz w:val="21"/>
                            <w:szCs w:val="21"/>
                            <w:rPrChange w:id="102" w:author="1＆0" w:date="2026-04-28T10:56:28Z">
                              <w:rPr>
                                <w:rFonts w:hint="default" w:ascii="Cambria Math" w:hAnsi="Cambria Math" w:eastAsia="Lucida Console"/>
                                <w:i/>
                                <w:sz w:val="12"/>
                              </w:rPr>
                            </w:rPrChange>
                          </w:rPr>
                          <m:t>CLR</m:t>
                        </m:r>
                      </w:ins>
                      <m:ctrlPr>
                        <w:ins w:id="103" w:author="1＆0" w:date="2026-04-28T10:56:05Z">
                          <w:rPr>
                            <w:rFonts w:ascii="Cambria Math" w:hAnsi="Cambria Math" w:eastAsia="Lucida Console" w:cs="Times New Roman"/>
                            <w:sz w:val="21"/>
                            <w:szCs w:val="21"/>
                            <w:rPrChange w:id="104" w:author="1＆0" w:date="2026-04-28T10:56:28Z">
                              <w:rPr>
                                <w:rFonts w:ascii="Cambria Math" w:hAnsi="Cambria Math" w:eastAsia="Lucida Console"/>
                                <w:sz w:val="12"/>
                              </w:rPr>
                            </w:rPrChange>
                          </w:rPr>
                        </w:ins>
                      </m:ctrlPr>
                    </m:e>
                  </m:bar>
                  <m:ctrlPr>
                    <w:ins w:id="105" w:author="1＆0" w:date="2026-04-28T10:56:05Z">
                      <w:rPr>
                        <w:rFonts w:ascii="Cambria Math" w:hAnsi="Cambria Math" w:eastAsia="Lucida Console" w:cs="Times New Roman"/>
                        <w:sz w:val="21"/>
                        <w:szCs w:val="21"/>
                        <w:rPrChange w:id="106" w:author="1＆0" w:date="2026-04-28T10:56:28Z">
                          <w:rPr>
                            <w:rFonts w:ascii="Cambria Math" w:hAnsi="Cambria Math" w:eastAsia="Lucida Console"/>
                            <w:sz w:val="12"/>
                          </w:rPr>
                        </w:rPrChange>
                      </w:rPr>
                    </w:ins>
                  </m:ctrlPr>
                </m:e>
                <m:sub>
                  <w:ins w:id="107" w:author="1＆0" w:date="2026-04-28T10:56:05Z">
                    <m:r>
                      <m:rPr>
                        <m:nor/>
                      </m:rPr>
                      <w:rPr>
                        <w:rFonts w:hint="default" w:ascii="Times New Roman" w:hAnsi="Times New Roman" w:eastAsia="Lucida Console" w:cs="Times New Roman"/>
                        <w:i/>
                        <w:sz w:val="21"/>
                        <w:szCs w:val="21"/>
                        <w:rPrChange w:id="108" w:author="1＆0" w:date="2026-04-28T10:56:28Z">
                          <w:rPr>
                            <w:rFonts w:hint="default" w:ascii="Cambria Math" w:hAnsi="Cambria Math" w:eastAsia="Lucida Console"/>
                            <w:i/>
                            <w:sz w:val="12"/>
                          </w:rPr>
                        </w:rPrChange>
                      </w:rPr>
                      <m:t>DB</m:t>
                    </m:r>
                  </w:ins>
                  <w:ins w:id="109" w:author="1＆0" w:date="2026-04-28T10:56:05Z">
                    <m:r>
                      <m:rPr>
                        <m:nor/>
                        <m:sty m:val="p"/>
                      </m:rPr>
                      <w:rPr>
                        <w:rFonts w:hint="default" w:ascii="Times New Roman" w:hAnsi="Times New Roman" w:eastAsia="Lucida Console" w:cs="Times New Roman"/>
                        <w:b w:val="0"/>
                        <w:i w:val="0"/>
                        <w:sz w:val="21"/>
                        <w:szCs w:val="21"/>
                        <w:rPrChange w:id="110" w:author="1＆0" w:date="2026-04-28T10:56:28Z">
                          <w:rPr>
                            <w:rFonts w:hint="default" w:ascii="Cambria Math" w:hAnsi="Cambria Math" w:eastAsia="Lucida Console"/>
                            <w:b w:val="0"/>
                            <w:i w:val="0"/>
                            <w:sz w:val="12"/>
                          </w:rPr>
                        </w:rPrChange>
                      </w:rPr>
                      <m:t>_</m:t>
                    </m:r>
                  </w:ins>
                  <w:ins w:id="111" w:author="1＆0" w:date="2026-04-28T10:56:05Z">
                    <m:r>
                      <m:rPr>
                        <m:nor/>
                      </m:rPr>
                      <w:rPr>
                        <w:rFonts w:hint="default" w:ascii="Times New Roman" w:hAnsi="Times New Roman" w:eastAsia="Lucida Console" w:cs="Times New Roman"/>
                        <w:i/>
                        <w:sz w:val="21"/>
                        <w:szCs w:val="21"/>
                        <w:rPrChange w:id="112" w:author="1＆0" w:date="2026-04-28T10:56:28Z">
                          <w:rPr>
                            <w:rFonts w:hint="default" w:ascii="Cambria Math" w:hAnsi="Cambria Math" w:eastAsia="Lucida Console"/>
                            <w:i/>
                            <w:sz w:val="12"/>
                          </w:rPr>
                        </w:rPrChange>
                      </w:rPr>
                      <m:t>Control</m:t>
                    </m:r>
                  </w:ins>
                  <m:ctrlPr>
                    <w:ins w:id="113" w:author="1＆0" w:date="2026-04-28T10:56:05Z">
                      <w:rPr>
                        <w:rFonts w:ascii="Cambria Math" w:hAnsi="Cambria Math" w:eastAsia="Lucida Console" w:cs="Times New Roman"/>
                        <w:sz w:val="21"/>
                        <w:szCs w:val="21"/>
                        <w:rPrChange w:id="114" w:author="1＆0" w:date="2026-04-28T10:56:28Z">
                          <w:rPr>
                            <w:rFonts w:ascii="Cambria Math" w:hAnsi="Cambria Math" w:eastAsia="Lucida Console"/>
                            <w:sz w:val="12"/>
                          </w:rPr>
                        </w:rPrChange>
                      </w:rPr>
                    </w:ins>
                  </m:ctrlPr>
                </m:sub>
              </m:sSub>
              <m:ctrlPr>
                <w:ins w:id="115" w:author="1＆0" w:date="2026-04-28T10:56:05Z">
                  <w:rPr>
                    <w:rFonts w:hint="default" w:ascii="Cambria Math" w:hAnsi="Cambria Math" w:eastAsia="Lucida Console" w:cs="Times New Roman"/>
                    <w:sz w:val="21"/>
                    <w:szCs w:val="21"/>
                    <w:rPrChange w:id="116" w:author="1＆0" w:date="2026-04-28T10:56:28Z">
                      <w:rPr>
                        <w:rFonts w:hint="default" w:ascii="Cambria Math" w:hAnsi="Cambria Math" w:eastAsia="Lucida Console"/>
                        <w:sz w:val="12"/>
                      </w:rPr>
                    </w:rPrChange>
                  </w:rPr>
                </w:ins>
              </m:ctrlPr>
            </m:num>
            <m:den>
              <m:sSub>
                <m:sSubPr>
                  <m:ctrlPr>
                    <w:ins w:id="117" w:author="1＆0" w:date="2026-04-28T10:56:05Z">
                      <w:rPr>
                        <w:rFonts w:hint="default" w:ascii="Cambria Math" w:hAnsi="Cambria Math" w:eastAsia="Lucida Console" w:cs="Times New Roman"/>
                        <w:sz w:val="21"/>
                        <w:szCs w:val="21"/>
                        <w:rPrChange w:id="118" w:author="1＆0" w:date="2026-04-28T10:56:28Z">
                          <w:rPr>
                            <w:rFonts w:hint="default" w:ascii="Cambria Math" w:hAnsi="Cambria Math" w:eastAsia="Lucida Console"/>
                            <w:sz w:val="12"/>
                          </w:rPr>
                        </w:rPrChange>
                      </w:rPr>
                    </w:ins>
                  </m:ctrlPr>
                </m:sSubPr>
                <m:e>
                  <m:bar>
                    <m:barPr>
                      <m:pos m:val="top"/>
                      <m:ctrlPr>
                        <w:ins w:id="119" w:author="1＆0" w:date="2026-04-28T10:56:05Z">
                          <w:rPr>
                            <w:rFonts w:ascii="Cambria Math" w:hAnsi="Cambria Math" w:eastAsia="Lucida Console" w:cs="Times New Roman"/>
                            <w:sz w:val="21"/>
                            <w:szCs w:val="21"/>
                            <w:rPrChange w:id="120" w:author="1＆0" w:date="2026-04-28T10:56:28Z">
                              <w:rPr>
                                <w:rFonts w:ascii="Cambria Math" w:hAnsi="Cambria Math" w:eastAsia="Lucida Console"/>
                                <w:sz w:val="12"/>
                              </w:rPr>
                            </w:rPrChange>
                          </w:rPr>
                        </w:ins>
                      </m:ctrlPr>
                    </m:barPr>
                    <m:e>
                      <w:ins w:id="121" w:author="1＆0" w:date="2026-04-28T10:56:05Z">
                        <m:r>
                          <m:rPr>
                            <m:nor/>
                          </m:rPr>
                          <w:rPr>
                            <w:rFonts w:hint="default" w:ascii="Times New Roman" w:hAnsi="Times New Roman" w:eastAsia="Lucida Console" w:cs="Times New Roman"/>
                            <w:i/>
                            <w:sz w:val="21"/>
                            <w:szCs w:val="21"/>
                            <w:rPrChange w:id="122" w:author="1＆0" w:date="2026-04-28T10:56:28Z">
                              <w:rPr>
                                <w:rFonts w:hint="default" w:ascii="Cambria Math" w:hAnsi="Cambria Math" w:eastAsia="Lucida Console"/>
                                <w:i/>
                                <w:sz w:val="12"/>
                              </w:rPr>
                            </w:rPrChange>
                          </w:rPr>
                          <m:t>CLR</m:t>
                        </m:r>
                      </w:ins>
                      <m:ctrlPr>
                        <w:ins w:id="123" w:author="1＆0" w:date="2026-04-28T10:56:05Z">
                          <w:rPr>
                            <w:rFonts w:ascii="Cambria Math" w:hAnsi="Cambria Math" w:eastAsia="Lucida Console" w:cs="Times New Roman"/>
                            <w:sz w:val="21"/>
                            <w:szCs w:val="21"/>
                            <w:rPrChange w:id="124" w:author="1＆0" w:date="2026-04-28T10:56:28Z">
                              <w:rPr>
                                <w:rFonts w:ascii="Cambria Math" w:hAnsi="Cambria Math" w:eastAsia="Lucida Console"/>
                                <w:sz w:val="12"/>
                              </w:rPr>
                            </w:rPrChange>
                          </w:rPr>
                        </w:ins>
                      </m:ctrlPr>
                    </m:e>
                  </m:bar>
                  <m:ctrlPr>
                    <w:ins w:id="125" w:author="1＆0" w:date="2026-04-28T10:56:05Z">
                      <w:rPr>
                        <w:rFonts w:ascii="Cambria Math" w:hAnsi="Cambria Math" w:eastAsia="Lucida Console" w:cs="Times New Roman"/>
                        <w:sz w:val="21"/>
                        <w:szCs w:val="21"/>
                        <w:rPrChange w:id="126" w:author="1＆0" w:date="2026-04-28T10:56:28Z">
                          <w:rPr>
                            <w:rFonts w:ascii="Cambria Math" w:hAnsi="Cambria Math" w:eastAsia="Lucida Console"/>
                            <w:sz w:val="12"/>
                          </w:rPr>
                        </w:rPrChange>
                      </w:rPr>
                    </w:ins>
                  </m:ctrlPr>
                </m:e>
                <m:sub>
                  <w:ins w:id="127" w:author="1＆0" w:date="2026-04-28T10:56:05Z">
                    <m:r>
                      <m:rPr>
                        <m:nor/>
                      </m:rPr>
                      <w:rPr>
                        <w:rFonts w:hint="default" w:ascii="Times New Roman" w:hAnsi="Times New Roman" w:eastAsia="Lucida Console" w:cs="Times New Roman"/>
                        <w:i/>
                        <w:sz w:val="21"/>
                        <w:szCs w:val="21"/>
                        <w:rPrChange w:id="128" w:author="1＆0" w:date="2026-04-28T10:56:28Z">
                          <w:rPr>
                            <w:rFonts w:hint="default" w:ascii="Cambria Math" w:hAnsi="Cambria Math" w:eastAsia="Lucida Console"/>
                            <w:i/>
                            <w:sz w:val="12"/>
                          </w:rPr>
                        </w:rPrChange>
                      </w:rPr>
                      <m:t>DB</m:t>
                    </m:r>
                  </w:ins>
                  <w:ins w:id="129" w:author="1＆0" w:date="2026-04-28T10:56:05Z">
                    <m:r>
                      <m:rPr>
                        <m:nor/>
                        <m:sty m:val="p"/>
                      </m:rPr>
                      <w:rPr>
                        <w:rFonts w:hint="default" w:ascii="Times New Roman" w:hAnsi="Times New Roman" w:eastAsia="Lucida Console" w:cs="Times New Roman"/>
                        <w:b w:val="0"/>
                        <w:i w:val="0"/>
                        <w:sz w:val="21"/>
                        <w:szCs w:val="21"/>
                        <w:rPrChange w:id="130" w:author="1＆0" w:date="2026-04-28T10:56:28Z">
                          <w:rPr>
                            <w:rFonts w:hint="default" w:ascii="Cambria Math" w:hAnsi="Cambria Math" w:eastAsia="Lucida Console"/>
                            <w:b w:val="0"/>
                            <w:i w:val="0"/>
                            <w:sz w:val="12"/>
                          </w:rPr>
                        </w:rPrChange>
                      </w:rPr>
                      <m:t>_</m:t>
                    </m:r>
                  </w:ins>
                  <w:ins w:id="131" w:author="1＆0" w:date="2026-04-28T10:56:05Z">
                    <m:r>
                      <m:rPr>
                        <m:nor/>
                      </m:rPr>
                      <w:rPr>
                        <w:rFonts w:hint="default" w:ascii="Times New Roman" w:hAnsi="Times New Roman" w:eastAsia="Lucida Console" w:cs="Times New Roman"/>
                        <w:i/>
                        <w:sz w:val="21"/>
                        <w:szCs w:val="21"/>
                        <w:rPrChange w:id="132" w:author="1＆0" w:date="2026-04-28T10:56:28Z">
                          <w:rPr>
                            <w:rFonts w:hint="default" w:ascii="Cambria Math" w:hAnsi="Cambria Math" w:eastAsia="Lucida Console"/>
                            <w:i/>
                            <w:sz w:val="12"/>
                          </w:rPr>
                        </w:rPrChange>
                      </w:rPr>
                      <m:t>Control</m:t>
                    </m:r>
                  </w:ins>
                  <m:ctrlPr>
                    <w:ins w:id="133" w:author="1＆0" w:date="2026-04-28T10:56:05Z">
                      <w:rPr>
                        <w:rFonts w:ascii="Cambria Math" w:hAnsi="Cambria Math" w:eastAsia="Lucida Console" w:cs="Times New Roman"/>
                        <w:sz w:val="21"/>
                        <w:szCs w:val="21"/>
                        <w:rPrChange w:id="134" w:author="1＆0" w:date="2026-04-28T10:56:28Z">
                          <w:rPr>
                            <w:rFonts w:ascii="Cambria Math" w:hAnsi="Cambria Math" w:eastAsia="Lucida Console"/>
                            <w:sz w:val="12"/>
                          </w:rPr>
                        </w:rPrChange>
                      </w:rPr>
                    </w:ins>
                  </m:ctrlPr>
                </m:sub>
              </m:sSub>
              <w:ins w:id="135" w:author="1＆0" w:date="2026-04-28T10:56:05Z">
                <m:r>
                  <m:rPr>
                    <m:nor/>
                    <m:sty m:val="p"/>
                  </m:rPr>
                  <w:rPr>
                    <w:rFonts w:hint="default" w:ascii="Times New Roman" w:hAnsi="Times New Roman" w:eastAsia="Lucida Console" w:cs="Times New Roman"/>
                    <w:b w:val="0"/>
                    <w:i w:val="0"/>
                    <w:sz w:val="21"/>
                    <w:szCs w:val="21"/>
                    <w:rPrChange w:id="136" w:author="1＆0" w:date="2026-04-28T10:56:28Z">
                      <w:rPr>
                        <w:rFonts w:hint="default" w:ascii="Cambria Math" w:hAnsi="Cambria Math" w:eastAsia="Lucida Console"/>
                        <w:b w:val="0"/>
                        <w:i w:val="0"/>
                        <w:sz w:val="12"/>
                      </w:rPr>
                    </w:rPrChange>
                  </w:rPr>
                  <m:t>−</m:t>
                </m:r>
              </w:ins>
              <m:sSub>
                <m:sSubPr>
                  <m:ctrlPr>
                    <w:ins w:id="137" w:author="1＆0" w:date="2026-04-28T10:56:05Z">
                      <w:rPr>
                        <w:rFonts w:hint="default" w:ascii="Cambria Math" w:hAnsi="Cambria Math" w:eastAsia="Lucida Console" w:cs="Times New Roman"/>
                        <w:sz w:val="21"/>
                        <w:szCs w:val="21"/>
                        <w:rPrChange w:id="138" w:author="1＆0" w:date="2026-04-28T10:56:28Z">
                          <w:rPr>
                            <w:rFonts w:hint="default" w:ascii="Cambria Math" w:hAnsi="Cambria Math" w:eastAsia="Lucida Console"/>
                            <w:sz w:val="12"/>
                          </w:rPr>
                        </w:rPrChange>
                      </w:rPr>
                    </w:ins>
                  </m:ctrlPr>
                </m:sSubPr>
                <m:e>
                  <m:bar>
                    <m:barPr>
                      <m:pos m:val="top"/>
                      <m:ctrlPr>
                        <w:ins w:id="139" w:author="1＆0" w:date="2026-04-28T10:56:05Z">
                          <w:rPr>
                            <w:rFonts w:ascii="Cambria Math" w:hAnsi="Cambria Math" w:eastAsia="Lucida Console" w:cs="Times New Roman"/>
                            <w:sz w:val="21"/>
                            <w:szCs w:val="21"/>
                            <w:rPrChange w:id="140" w:author="1＆0" w:date="2026-04-28T10:56:28Z">
                              <w:rPr>
                                <w:rFonts w:ascii="Cambria Math" w:hAnsi="Cambria Math" w:eastAsia="Lucida Console"/>
                                <w:sz w:val="12"/>
                              </w:rPr>
                            </w:rPrChange>
                          </w:rPr>
                        </w:ins>
                      </m:ctrlPr>
                    </m:barPr>
                    <m:e>
                      <w:ins w:id="141" w:author="1＆0" w:date="2026-04-28T10:56:05Z">
                        <m:r>
                          <m:rPr>
                            <m:nor/>
                          </m:rPr>
                          <w:rPr>
                            <w:rFonts w:hint="default" w:ascii="Times New Roman" w:hAnsi="Times New Roman" w:eastAsia="Lucida Console" w:cs="Times New Roman"/>
                            <w:i/>
                            <w:sz w:val="21"/>
                            <w:szCs w:val="21"/>
                            <w:rPrChange w:id="142" w:author="1＆0" w:date="2026-04-28T10:56:28Z">
                              <w:rPr>
                                <w:rFonts w:hint="default" w:ascii="Cambria Math" w:hAnsi="Cambria Math" w:eastAsia="Lucida Console"/>
                                <w:i/>
                                <w:sz w:val="12"/>
                              </w:rPr>
                            </w:rPrChange>
                          </w:rPr>
                          <m:t>CLR</m:t>
                        </m:r>
                      </w:ins>
                      <m:ctrlPr>
                        <w:ins w:id="143" w:author="1＆0" w:date="2026-04-28T10:56:05Z">
                          <w:rPr>
                            <w:rFonts w:ascii="Cambria Math" w:hAnsi="Cambria Math" w:eastAsia="Lucida Console" w:cs="Times New Roman"/>
                            <w:sz w:val="21"/>
                            <w:szCs w:val="21"/>
                            <w:rPrChange w:id="144" w:author="1＆0" w:date="2026-04-28T10:56:28Z">
                              <w:rPr>
                                <w:rFonts w:ascii="Cambria Math" w:hAnsi="Cambria Math" w:eastAsia="Lucida Console"/>
                                <w:sz w:val="12"/>
                              </w:rPr>
                            </w:rPrChange>
                          </w:rPr>
                        </w:ins>
                      </m:ctrlPr>
                    </m:e>
                  </m:bar>
                  <m:ctrlPr>
                    <w:ins w:id="145" w:author="1＆0" w:date="2026-04-28T10:56:05Z">
                      <w:rPr>
                        <w:rFonts w:ascii="Cambria Math" w:hAnsi="Cambria Math" w:eastAsia="Lucida Console" w:cs="Times New Roman"/>
                        <w:sz w:val="21"/>
                        <w:szCs w:val="21"/>
                        <w:rPrChange w:id="146" w:author="1＆0" w:date="2026-04-28T10:56:28Z">
                          <w:rPr>
                            <w:rFonts w:ascii="Cambria Math" w:hAnsi="Cambria Math" w:eastAsia="Lucida Console"/>
                            <w:sz w:val="12"/>
                          </w:rPr>
                        </w:rPrChange>
                      </w:rPr>
                    </w:ins>
                  </m:ctrlPr>
                </m:e>
                <m:sub>
                  <w:ins w:id="147" w:author="1＆0" w:date="2026-04-28T10:56:05Z">
                    <m:r>
                      <m:rPr>
                        <m:nor/>
                      </m:rPr>
                      <w:rPr>
                        <w:rFonts w:hint="default" w:ascii="Times New Roman" w:hAnsi="Times New Roman" w:eastAsia="Lucida Console" w:cs="Times New Roman"/>
                        <w:i/>
                        <w:sz w:val="21"/>
                        <w:szCs w:val="21"/>
                        <w:rPrChange w:id="148" w:author="1＆0" w:date="2026-04-28T10:56:28Z">
                          <w:rPr>
                            <w:rFonts w:hint="default" w:ascii="Cambria Math" w:hAnsi="Cambria Math" w:eastAsia="Lucida Console"/>
                            <w:i/>
                            <w:sz w:val="12"/>
                          </w:rPr>
                        </w:rPrChange>
                      </w:rPr>
                      <m:t>WT</m:t>
                    </m:r>
                  </w:ins>
                  <w:ins w:id="149" w:author="1＆0" w:date="2026-04-28T10:56:05Z">
                    <m:r>
                      <m:rPr>
                        <m:nor/>
                        <m:sty m:val="p"/>
                      </m:rPr>
                      <w:rPr>
                        <w:rFonts w:hint="default" w:ascii="Times New Roman" w:hAnsi="Times New Roman" w:eastAsia="Lucida Console" w:cs="Times New Roman"/>
                        <w:b w:val="0"/>
                        <w:i w:val="0"/>
                        <w:sz w:val="21"/>
                        <w:szCs w:val="21"/>
                        <w:rPrChange w:id="150" w:author="1＆0" w:date="2026-04-28T10:56:28Z">
                          <w:rPr>
                            <w:rFonts w:hint="default" w:ascii="Cambria Math" w:hAnsi="Cambria Math" w:eastAsia="Lucida Console"/>
                            <w:b w:val="0"/>
                            <w:i w:val="0"/>
                            <w:sz w:val="12"/>
                          </w:rPr>
                        </w:rPrChange>
                      </w:rPr>
                      <m:t>_</m:t>
                    </m:r>
                  </w:ins>
                  <w:ins w:id="151" w:author="1＆0" w:date="2026-04-28T10:56:05Z">
                    <m:r>
                      <m:rPr>
                        <m:nor/>
                      </m:rPr>
                      <w:rPr>
                        <w:rFonts w:hint="default" w:ascii="Times New Roman" w:hAnsi="Times New Roman" w:eastAsia="Lucida Console" w:cs="Times New Roman"/>
                        <w:i/>
                        <w:sz w:val="21"/>
                        <w:szCs w:val="21"/>
                        <w:rPrChange w:id="152" w:author="1＆0" w:date="2026-04-28T10:56:28Z">
                          <w:rPr>
                            <w:rFonts w:hint="default" w:ascii="Cambria Math" w:hAnsi="Cambria Math" w:eastAsia="Lucida Console"/>
                            <w:i/>
                            <w:sz w:val="12"/>
                          </w:rPr>
                        </w:rPrChange>
                      </w:rPr>
                      <m:t>Control</m:t>
                    </m:r>
                  </w:ins>
                  <m:ctrlPr>
                    <w:ins w:id="153" w:author="1＆0" w:date="2026-04-28T10:56:05Z">
                      <w:rPr>
                        <w:rFonts w:ascii="Cambria Math" w:hAnsi="Cambria Math" w:eastAsia="Lucida Console" w:cs="Times New Roman"/>
                        <w:sz w:val="21"/>
                        <w:szCs w:val="21"/>
                        <w:rPrChange w:id="154" w:author="1＆0" w:date="2026-04-28T10:56:28Z">
                          <w:rPr>
                            <w:rFonts w:ascii="Cambria Math" w:hAnsi="Cambria Math" w:eastAsia="Lucida Console"/>
                            <w:sz w:val="12"/>
                          </w:rPr>
                        </w:rPrChange>
                      </w:rPr>
                    </w:ins>
                  </m:ctrlPr>
                </m:sub>
              </m:sSub>
              <m:ctrlPr>
                <w:ins w:id="155" w:author="1＆0" w:date="2026-04-28T10:56:05Z">
                  <w:rPr>
                    <w:rFonts w:hint="default" w:ascii="Cambria Math" w:hAnsi="Cambria Math" w:eastAsia="Lucida Console" w:cs="Times New Roman"/>
                    <w:sz w:val="21"/>
                    <w:szCs w:val="21"/>
                    <w:rPrChange w:id="156" w:author="1＆0" w:date="2026-04-28T10:56:28Z">
                      <w:rPr>
                        <w:rFonts w:hint="default" w:ascii="Cambria Math" w:hAnsi="Cambria Math" w:eastAsia="Lucida Console"/>
                        <w:sz w:val="12"/>
                      </w:rPr>
                    </w:rPrChange>
                  </w:rPr>
                </w:ins>
              </m:ctrlPr>
            </m:den>
          </m:f>
        </m:oMath>
      </m:oMathPara>
    </w:p>
    <w:p w14:paraId="60FE2531">
      <w:pPr>
        <w:ind w:firstLine="420" w:firstLineChars="200"/>
        <w:jc w:val="both"/>
        <w:rPr>
          <w:ins w:id="158" w:author="1＆0" w:date="2026-04-28T11:54:08Z"/>
          <w:rFonts w:hint="eastAsia" w:hAnsi="Times New Roman" w:cs="Times New Roman" w:eastAsiaTheme="minorEastAsia"/>
          <w:i w:val="0"/>
          <w:iCs w:val="0"/>
          <w:caps w:val="0"/>
          <w:color w:val="auto"/>
          <w:spacing w:val="0"/>
          <w:sz w:val="21"/>
          <w:szCs w:val="22"/>
          <w:shd w:val="clear" w:fill="auto"/>
          <w14:ligatures w14:val="standardContextual"/>
        </w:rPr>
        <w:pPrChange w:id="157" w:author="1＆0" w:date="2026-04-28T11:55:17Z">
          <w:pPr>
            <w:jc w:val="both"/>
          </w:pPr>
        </w:pPrChange>
      </w:pPr>
      <m:oMathPara>
        <m:oMath>
          <w:del w:id="159" w:author="1＆0" w:date="2026-04-28T11:52:34Z">
            <m:r>
              <m:rPr>
                <m:sty m:val="p"/>
              </m:rPr>
              <w:rPr>
                <w:rFonts w:hint="eastAsia" w:ascii="Times New Roman" w:hAnsi="Times New Roman" w:cs="Times New Roman" w:eastAsiaTheme="minorEastAsia"/>
                <w:caps w:val="0"/>
                <w:color w:val="auto"/>
                <w:spacing w:val="0"/>
                <w:sz w:val="21"/>
                <w:szCs w:val="22"/>
                <w:shd w:val="clear" w:fill="auto"/>
                <w:rPrChange w:id="160" w:author="1＆0" w:date="2026-04-28T10:57:59Z">
                  <w:rPr>
                    <w:rFonts w:ascii="Helvetica" w:hAnsi="Helvetica" w:eastAsia="Helvetica" w:cs="Helvetica"/>
                    <w:caps w:val="0"/>
                    <w:color w:val="333333"/>
                    <w:spacing w:val="0"/>
                    <w:sz w:val="12"/>
                    <w:szCs w:val="12"/>
                    <w:shd w:val="clear" w:fill="FFFFFF"/>
                  </w:rPr>
                </w:rPrChange>
                <w14:ligatures w14:val="standardContextual"/>
              </w:rPr>
              <m:t>G</m:t>
            </m:r>
          </w:del>
          <w:del w:id="162" w:author="1＆0" w:date="2026-04-28T11:52:34Z">
            <m:r>
              <m:rPr>
                <m:sty m:val="p"/>
              </m:rPr>
              <w:rPr>
                <w:rFonts w:hint="eastAsia" w:ascii="Times New Roman" w:hAnsi="Times New Roman" w:cs="Times New Roman" w:eastAsiaTheme="minorEastAsia"/>
                <w:caps w:val="0"/>
                <w:color w:val="auto"/>
                <w:spacing w:val="0"/>
                <w:sz w:val="21"/>
                <w:szCs w:val="22"/>
                <w:shd w:val="clear" w:fill="auto"/>
                <w:rPrChange w:id="163" w:author="1＆0" w:date="2026-04-28T10:57:59Z">
                  <w:rPr>
                    <w:rFonts w:ascii="Helvetica" w:hAnsi="Helvetica" w:eastAsia="Helvetica" w:cs="Helvetica"/>
                    <w:caps w:val="0"/>
                    <w:color w:val="333333"/>
                    <w:spacing w:val="0"/>
                    <w:sz w:val="12"/>
                    <w:szCs w:val="12"/>
                    <w:shd w:val="clear" w:fill="FFFFFF"/>
                  </w:rPr>
                </w:rPrChange>
                <w14:ligatures w14:val="standardContextual"/>
              </w:rPr>
              <m:t>enera satisfying the following criteria were classified as rescue genera: (i) |Δ_disease| ≥ 0.3 (sufficient disease-associated shift in CLR abundance); (ii) rescue score ≥ 0.3 (at least 30% reversal by treatment); and (iii) treatment-associated change in the opposite direction to the disease-associated change.</m:t>
            </m:r>
          </w:del>
        </m:oMath>
      </m:oMathPara>
    </w:p>
    <w:p w14:paraId="7E4C4C14">
      <w:pPr>
        <w:ind w:firstLine="420" w:firstLineChars="200"/>
        <w:jc w:val="both"/>
        <w:rPr>
          <w:ins w:id="166" w:author="1＆0" w:date="2026-04-28T10:57:19Z"/>
          <w:rFonts w:hint="default" w:ascii="Times New Roman" w:hAnsi="Times New Roman" w:cs="Times New Roman"/>
          <w:i w:val="0"/>
          <w:color w:val="auto"/>
          <w:sz w:val="21"/>
          <w:szCs w:val="22"/>
          <w:shd w:val="clear" w:fill="auto"/>
          <w:rPrChange w:id="167" w:author="1＆0" w:date="2026-04-28T11:55:23Z">
            <w:rPr>
              <w:ins w:id="168" w:author="1＆0" w:date="2026-04-28T10:57:19Z"/>
              <w:rFonts w:hint="eastAsia" w:ascii="Times New Roman" w:hAnsi="Times New Roman" w:cs="Times New Roman"/>
              <w:sz w:val="21"/>
              <w:szCs w:val="22"/>
              <w14:ligatures w14:val="standardContextual"/>
              <w:oMath/>
            </w:rPr>
          </w:rPrChange>
          <w14:ligatures w14:val="standardContextual"/>
          <w:oMath/>
        </w:rPr>
        <w:pPrChange w:id="165" w:author="1＆0" w:date="2026-04-28T10:57:53Z">
          <w:pPr>
            <w:jc w:val="both"/>
          </w:pPr>
        </w:pPrChange>
      </w:pPr>
      <w:ins w:id="169" w:author="1＆0" w:date="2026-04-28T11:55:10Z">
        <w:r>
          <w:rPr>
            <w:rFonts w:hint="eastAsia" w:ascii="Times New Roman" w:hAnsi="Times New Roman" w:cs="Times New Roman" w:eastAsiaTheme="minorEastAsia"/>
            <w:i w:val="0"/>
            <w:iCs w:val="0"/>
            <w:caps w:val="0"/>
            <w:color w:val="auto"/>
            <w:spacing w:val="0"/>
            <w:sz w:val="21"/>
            <w:szCs w:val="22"/>
            <w:shd w:val="clear" w:fill="auto"/>
            <w:rPrChange w:id="170" w:author="1＆0" w:date="2026-04-28T11:55:23Z">
              <w:rPr>
                <w:rFonts w:ascii="Helvetica" w:hAnsi="Helvetica" w:eastAsia="Helvetica" w:cs="Helvetica"/>
                <w:i w:val="0"/>
                <w:iCs w:val="0"/>
                <w:caps w:val="0"/>
                <w:color w:val="333333"/>
                <w:spacing w:val="0"/>
                <w:sz w:val="12"/>
                <w:szCs w:val="12"/>
                <w:shd w:val="clear" w:fill="FFFFFF"/>
              </w:rPr>
            </w:rPrChange>
          </w:rPr>
          <w:t>Genera satisfying the following criteria were classified as rescue genera: (i) |Δ_disease| ≥ 0.3 (sufficient disease-associated shift in CLR abundance); (ii) rescue score ≥ 0.3 (at least 30% reversal by treatment); and (iii) treatment-associated change in the opposite direction to the disease-associated change</w:t>
        </w:r>
      </w:ins>
      <w:ins w:id="172" w:author="1＆0" w:date="2026-04-28T11:03:24Z">
        <w:r>
          <w:rPr>
            <w:rFonts w:hint="eastAsia" w:ascii="Times New Roman" w:hAnsi="Times New Roman" w:cs="Times New Roman" w:eastAsiaTheme="minorEastAsia"/>
            <w:i w:val="0"/>
            <w:iCs w:val="0"/>
            <w:caps w:val="0"/>
            <w:color w:val="auto"/>
            <w:spacing w:val="0"/>
            <w:kern w:val="2"/>
            <w:sz w:val="21"/>
            <w:szCs w:val="22"/>
            <w:shd w:val="clear" w:fill="auto"/>
            <w:lang w:val="en-US" w:eastAsia="zh-CN" w:bidi="ar-SA"/>
            <w:rPrChange w:id="173" w:author="1＆0" w:date="2026-04-28T11:55:23Z">
              <w:rPr>
                <w:rFonts w:hint="eastAsia" w:hAnsi="Times New Roman" w:cs="Times New Roman" w:eastAsiaTheme="minorEastAsia"/>
                <w:i w:val="0"/>
                <w:iCs w:val="0"/>
                <w:caps w:val="0"/>
                <w:color w:val="auto"/>
                <w:spacing w:val="0"/>
                <w:kern w:val="2"/>
                <w:sz w:val="21"/>
                <w:szCs w:val="22"/>
                <w:shd w:val="clear" w:fill="auto"/>
                <w:lang w:val="en-US" w:eastAsia="zh-CN" w:bidi="ar-SA"/>
                <w14:ligatures w14:val="standardContextual"/>
              </w:rPr>
            </w:rPrChange>
            <w14:ligatures w14:val="standardContextual"/>
          </w:rPr>
          <w:t xml:space="preserve">A similar method was used to calculate the recovery effect of the </w:t>
        </w:r>
      </w:ins>
      <w:ins w:id="175" w:author="1＆0" w:date="2026-04-28T11:03:39Z">
        <w:r>
          <w:rPr>
            <w:rFonts w:hint="eastAsia" w:ascii="Times New Roman" w:hAnsi="Times New Roman" w:cs="Times New Roman" w:eastAsiaTheme="minorEastAsia"/>
            <w:i w:val="0"/>
            <w:iCs w:val="0"/>
            <w:caps w:val="0"/>
            <w:color w:val="auto"/>
            <w:spacing w:val="0"/>
            <w:sz w:val="21"/>
            <w:szCs w:val="22"/>
            <w:shd w:val="clear" w:fill="auto"/>
          </w:rPr>
          <w:t>dysbiosis</w:t>
        </w:r>
      </w:ins>
      <w:ins w:id="176" w:author="1＆0" w:date="2026-04-28T11:03:24Z">
        <w:r>
          <w:rPr>
            <w:rFonts w:hint="eastAsia" w:ascii="Times New Roman" w:hAnsi="Times New Roman" w:cs="Times New Roman" w:eastAsiaTheme="minorEastAsia"/>
            <w:i w:val="0"/>
            <w:iCs w:val="0"/>
            <w:caps w:val="0"/>
            <w:color w:val="auto"/>
            <w:spacing w:val="0"/>
            <w:kern w:val="2"/>
            <w:sz w:val="21"/>
            <w:szCs w:val="22"/>
            <w:shd w:val="clear" w:fill="auto"/>
            <w:lang w:val="en-US" w:eastAsia="zh-CN" w:bidi="ar-SA"/>
            <w:rPrChange w:id="177" w:author="1＆0" w:date="2026-04-28T11:55:23Z">
              <w:rPr>
                <w:rFonts w:hint="eastAsia" w:hAnsi="Times New Roman" w:cs="Times New Roman" w:eastAsiaTheme="minorEastAsia"/>
                <w:i w:val="0"/>
                <w:iCs w:val="0"/>
                <w:caps w:val="0"/>
                <w:color w:val="auto"/>
                <w:spacing w:val="0"/>
                <w:kern w:val="2"/>
                <w:sz w:val="21"/>
                <w:szCs w:val="22"/>
                <w:shd w:val="clear" w:fill="auto"/>
                <w:lang w:val="en-US" w:eastAsia="zh-CN" w:bidi="ar-SA"/>
                <w14:ligatures w14:val="standardContextual"/>
              </w:rPr>
            </w:rPrChange>
            <w14:ligatures w14:val="standardContextual"/>
          </w:rPr>
          <w:t xml:space="preserve"> index before and after treatment</w:t>
        </w:r>
      </w:ins>
      <w:ins w:id="179" w:author="1＆0" w:date="2026-04-28T11:04:07Z">
        <w:r>
          <w:rPr>
            <w:rFonts w:hint="eastAsia" w:ascii="Times New Roman" w:hAnsi="Times New Roman" w:cs="Times New Roman" w:eastAsiaTheme="minorEastAsia"/>
            <w:i w:val="0"/>
            <w:iCs w:val="0"/>
            <w:caps w:val="0"/>
            <w:color w:val="auto"/>
            <w:spacing w:val="0"/>
            <w:kern w:val="2"/>
            <w:sz w:val="21"/>
            <w:szCs w:val="22"/>
            <w:shd w:val="clear" w:fill="auto"/>
            <w:lang w:val="en-US" w:eastAsia="zh-CN" w:bidi="ar-SA"/>
            <w:rPrChange w:id="180" w:author="1＆0" w:date="2026-04-28T11:55:23Z">
              <w:rPr>
                <w:rFonts w:hint="eastAsia" w:hAnsi="Times New Roman" w:cs="Times New Roman" w:eastAsiaTheme="minorEastAsia"/>
                <w:i w:val="0"/>
                <w:iCs w:val="0"/>
                <w:caps w:val="0"/>
                <w:color w:val="auto"/>
                <w:spacing w:val="0"/>
                <w:kern w:val="2"/>
                <w:sz w:val="21"/>
                <w:szCs w:val="22"/>
                <w:shd w:val="clear" w:fill="auto"/>
                <w:lang w:val="en-US" w:eastAsia="zh-CN" w:bidi="ar-SA"/>
                <w14:ligatures w14:val="standardContextual"/>
              </w:rPr>
            </w:rPrChange>
            <w14:ligatures w14:val="standardContextual"/>
          </w:rPr>
          <w:t>.</w:t>
        </w:r>
      </w:ins>
    </w:p>
    <w:p w14:paraId="1C40954C">
      <w:pPr>
        <w:ind w:firstLine="0" w:firstLineChars="0"/>
        <w:jc w:val="both"/>
        <w:rPr>
          <w:ins w:id="183" w:author="1＆0" w:date="2026-04-09T18:25:23Z"/>
          <w:rFonts w:hint="eastAsia" w:ascii="Times New Roman" w:hAnsi="Times New Roman" w:cs="Times New Roman" w:eastAsiaTheme="minorEastAsia"/>
          <w:kern w:val="2"/>
          <w:sz w:val="21"/>
          <w:szCs w:val="22"/>
          <w:lang w:val="en-US" w:eastAsia="zh-CN" w:bidi="ar-SA"/>
          <w14:ligatures w14:val="standardContextual"/>
        </w:rPr>
        <w:pPrChange w:id="182" w:author="1＆0" w:date="2026-04-09T18:25:24Z">
          <w:pPr>
            <w:jc w:val="both"/>
          </w:pPr>
        </w:pPrChange>
      </w:pPr>
      <w:ins w:id="184" w:author="1＆0" w:date="2026-04-09T18:25:16Z">
        <w:r>
          <w:rPr>
            <w:rFonts w:hint="eastAsia" w:ascii="Times New Roman" w:hAnsi="Times New Roman" w:cs="Times New Roman"/>
            <w:sz w:val="21"/>
            <w:szCs w:val="22"/>
            <w:rPrChange w:id="185" w:author="1＆0" w:date="2026-04-09T18:25:20Z">
              <w:rPr>
                <w:rFonts w:hint="eastAsia" w:ascii="Times New Roman" w:hAnsi="Times New Roman" w:cs="Times New Roman"/>
                <w:sz w:val="21"/>
                <w:szCs w:val="22"/>
              </w:rPr>
            </w:rPrChange>
            <w14:ligatures w14:val="standardContextual"/>
          </w:rPr>
          <w:t>T</w:t>
        </w:r>
      </w:ins>
      <w:ins w:id="186" w:author="1＆0" w:date="2026-04-09T18:25:16Z">
        <w:r>
          <w:rPr>
            <w:rFonts w:hint="eastAsia" w:ascii="Times New Roman" w:hAnsi="Times New Roman" w:cs="Times New Roman"/>
            <w:sz w:val="21"/>
            <w:szCs w:val="22"/>
            <w:rPrChange w:id="187" w:author="1＆0" w:date="2026-04-09T18:25:20Z">
              <w:rPr>
                <w:rFonts w:hint="eastAsia" w:ascii="Times New Roman" w:hAnsi="Times New Roman" w:cs="Times New Roman"/>
                <w:sz w:val="21"/>
                <w:szCs w:val="22"/>
              </w:rPr>
            </w:rPrChange>
            <w14:ligatures w14:val="standardContextual"/>
          </w:rPr>
          <w:t xml:space="preserve">ranscriptomic </w:t>
        </w:r>
      </w:ins>
      <w:ins w:id="188" w:author="1＆0" w:date="2026-04-09T18:25:29Z">
        <w:r>
          <w:rPr>
            <w:rFonts w:hint="eastAsia" w:ascii="Times New Roman" w:hAnsi="Times New Roman" w:cs="Times New Roman" w:eastAsiaTheme="minorEastAsia"/>
            <w:kern w:val="2"/>
            <w:sz w:val="21"/>
            <w:szCs w:val="22"/>
            <w:lang w:val="en-US" w:eastAsia="zh-CN" w:bidi="ar-SA"/>
            <w14:ligatures w14:val="standardContextual"/>
          </w:rPr>
          <w:t>s</w:t>
        </w:r>
      </w:ins>
      <w:ins w:id="189" w:author="1＆0" w:date="2026-04-09T18:25:16Z">
        <w:r>
          <w:rPr>
            <w:rFonts w:hint="eastAsia" w:ascii="Times New Roman" w:hAnsi="Times New Roman" w:cs="Times New Roman"/>
            <w:sz w:val="21"/>
            <w:szCs w:val="22"/>
            <w:rPrChange w:id="190" w:author="1＆0" w:date="2026-04-09T18:25:20Z">
              <w:rPr>
                <w:rFonts w:hint="eastAsia" w:ascii="Times New Roman" w:hAnsi="Times New Roman" w:cs="Times New Roman"/>
                <w:sz w:val="21"/>
                <w:szCs w:val="22"/>
              </w:rPr>
            </w:rPrChange>
            <w14:ligatures w14:val="standardContextual"/>
          </w:rPr>
          <w:t xml:space="preserve">equencing and </w:t>
        </w:r>
      </w:ins>
      <w:ins w:id="191" w:author="1＆0" w:date="2026-04-09T18:25:32Z">
        <w:r>
          <w:rPr>
            <w:rFonts w:hint="eastAsia" w:ascii="Times New Roman" w:hAnsi="Times New Roman" w:cs="Times New Roman" w:eastAsiaTheme="minorEastAsia"/>
            <w:kern w:val="2"/>
            <w:sz w:val="21"/>
            <w:szCs w:val="22"/>
            <w:lang w:val="en-US" w:eastAsia="zh-CN" w:bidi="ar-SA"/>
            <w14:ligatures w14:val="standardContextual"/>
          </w:rPr>
          <w:t>a</w:t>
        </w:r>
      </w:ins>
      <w:ins w:id="192" w:author="1＆0" w:date="2026-04-09T18:25:16Z">
        <w:r>
          <w:rPr>
            <w:rFonts w:hint="eastAsia" w:ascii="Times New Roman" w:hAnsi="Times New Roman" w:cs="Times New Roman"/>
            <w:sz w:val="21"/>
            <w:szCs w:val="22"/>
            <w:rPrChange w:id="193" w:author="1＆0" w:date="2026-04-09T18:25:20Z">
              <w:rPr>
                <w:rFonts w:hint="eastAsia" w:ascii="Times New Roman" w:hAnsi="Times New Roman" w:cs="Times New Roman"/>
                <w:sz w:val="21"/>
                <w:szCs w:val="22"/>
              </w:rPr>
            </w:rPrChange>
            <w14:ligatures w14:val="standardContextual"/>
          </w:rPr>
          <w:t>nalysis</w:t>
        </w:r>
      </w:ins>
    </w:p>
    <w:p w14:paraId="56069284">
      <w:pPr>
        <w:ind w:firstLine="420" w:firstLineChars="200"/>
        <w:jc w:val="both"/>
        <w:rPr>
          <w:del w:id="195" w:author="1＆0" w:date="2026-04-09T18:25:16Z"/>
          <w:rFonts w:hint="eastAsia" w:ascii="Times New Roman" w:hAnsi="Times New Roman" w:cs="Times New Roman"/>
          <w:sz w:val="21"/>
          <w:szCs w:val="22"/>
          <w:rPrChange w:id="196" w:author="1＆0" w:date="2026-04-09T18:25:20Z">
            <w:rPr>
              <w:del w:id="197" w:author="1＆0" w:date="2026-04-09T18:25:16Z"/>
              <w:rFonts w:hint="eastAsia" w:ascii="Times New Roman" w:hAnsi="Times New Roman" w:cs="Times New Roman"/>
              <w:sz w:val="21"/>
              <w:szCs w:val="22"/>
            </w:rPr>
          </w:rPrChange>
          <w14:ligatures w14:val="standardContextual"/>
        </w:rPr>
        <w:pPrChange w:id="194" w:author="1＆0" w:date="2026-04-09T18:25:20Z">
          <w:pPr>
            <w:jc w:val="both"/>
          </w:pPr>
        </w:pPrChange>
      </w:pPr>
      <w:del w:id="198" w:author="1＆0" w:date="2026-04-09T18:25:16Z">
        <w:r>
          <w:rPr>
            <w:rFonts w:hint="eastAsia" w:ascii="Times New Roman" w:hAnsi="Times New Roman" w:cs="Times New Roman"/>
            <w:sz w:val="21"/>
            <w:szCs w:val="22"/>
            <w:rPrChange w:id="199" w:author="1＆0" w:date="2026-04-09T18:25:20Z">
              <w:rPr>
                <w:rFonts w:hint="eastAsia" w:ascii="Times New Roman" w:hAnsi="Times New Roman" w:cs="Times New Roman"/>
                <w:sz w:val="21"/>
                <w:szCs w:val="22"/>
              </w:rPr>
            </w:rPrChange>
            <w14:ligatures w14:val="standardContextual"/>
          </w:rPr>
          <w:delText>Transcriptomic profiling and clustering analysis</w:delText>
        </w:r>
      </w:del>
    </w:p>
    <w:p w14:paraId="74A8B088">
      <w:pPr>
        <w:ind w:firstLine="420" w:firstLineChars="200"/>
        <w:jc w:val="both"/>
        <w:rPr>
          <w:ins w:id="200" w:author="1＆0" w:date="2026-04-09T20:54:48Z"/>
          <w:rFonts w:hint="eastAsia" w:ascii="Times New Roman" w:hAnsi="Times New Roman" w:cs="Times New Roman" w:eastAsiaTheme="minorEastAsia"/>
          <w:i w:val="0"/>
          <w:iCs w:val="0"/>
          <w:caps w:val="0"/>
          <w:spacing w:val="0"/>
          <w:sz w:val="21"/>
          <w:szCs w:val="22"/>
          <w:shd w:val="clear"/>
        </w:rPr>
      </w:pPr>
      <w:r>
        <w:rPr>
          <w:rFonts w:hint="eastAsia" w:ascii="Times New Roman" w:hAnsi="Times New Roman" w:cs="Times New Roman"/>
          <w:sz w:val="21"/>
          <w:szCs w:val="22"/>
        </w:rPr>
        <w:t>Total RNA was extracted from oral tissues and subjected to bulk RNA sequencing.</w:t>
      </w:r>
      <w:ins w:id="201" w:author="1＆0" w:date="2026-04-09T18:31:38Z">
        <w:r>
          <w:rPr>
            <w:rFonts w:hint="eastAsia" w:ascii="Times New Roman" w:hAnsi="Times New Roman" w:cs="Times New Roman"/>
            <w:sz w:val="21"/>
            <w:szCs w:val="22"/>
            <w:lang w:val="en-US" w:eastAsia="zh-CN"/>
          </w:rPr>
          <w:t xml:space="preserve"> </w:t>
        </w:r>
      </w:ins>
      <w:ins w:id="202" w:author="1＆0" w:date="2026-04-09T20:43:43Z">
        <w:r>
          <w:rPr>
            <w:rFonts w:hint="eastAsia" w:ascii="Times New Roman" w:hAnsi="Times New Roman" w:cs="Times New Roman" w:eastAsiaTheme="minorEastAsia"/>
            <w:i w:val="0"/>
            <w:iCs w:val="0"/>
            <w:caps w:val="0"/>
            <w:color w:val="auto"/>
            <w:spacing w:val="0"/>
            <w:sz w:val="21"/>
            <w:szCs w:val="22"/>
            <w:shd w:val="clear" w:fill="auto"/>
            <w:rPrChange w:id="203" w:author="1＆0" w:date="2026-04-09T20:43:45Z">
              <w:rPr>
                <w:rFonts w:ascii="Helvetica" w:hAnsi="Helvetica" w:eastAsia="Helvetica" w:cs="Helvetica"/>
                <w:i w:val="0"/>
                <w:iCs w:val="0"/>
                <w:caps w:val="0"/>
                <w:color w:val="333333"/>
                <w:spacing w:val="0"/>
                <w:sz w:val="12"/>
                <w:szCs w:val="12"/>
                <w:shd w:val="clear" w:fill="FFFFFF"/>
              </w:rPr>
            </w:rPrChange>
          </w:rPr>
          <w:t>Raw count data were imported into DESeq2 in R and normalized using the median-of-ratios method.</w:t>
        </w:r>
      </w:ins>
      <w:ins w:id="204" w:author="1＆0" w:date="2026-04-09T20:50:23Z">
        <w:r>
          <w:rPr>
            <w:rFonts w:hint="eastAsia" w:ascii="Times New Roman" w:hAnsi="Times New Roman" w:cs="Times New Roman"/>
            <w:i w:val="0"/>
            <w:iCs w:val="0"/>
            <w:caps w:val="0"/>
            <w:spacing w:val="0"/>
            <w:sz w:val="21"/>
            <w:szCs w:val="22"/>
            <w:shd w:val="clear"/>
            <w:lang w:val="en-US" w:eastAsia="zh-CN"/>
          </w:rPr>
          <w:t xml:space="preserve"> </w:t>
        </w:r>
      </w:ins>
      <w:ins w:id="205" w:author="1＆0" w:date="2026-04-09T20:50:27Z">
        <w:r>
          <w:rPr>
            <w:rFonts w:hint="eastAsia" w:ascii="Times New Roman" w:hAnsi="Times New Roman" w:cs="Times New Roman" w:eastAsiaTheme="minorEastAsia"/>
            <w:i w:val="0"/>
            <w:iCs w:val="0"/>
            <w:caps w:val="0"/>
            <w:color w:val="auto"/>
            <w:spacing w:val="0"/>
            <w:sz w:val="21"/>
            <w:szCs w:val="22"/>
            <w:shd w:val="clear" w:fill="auto"/>
            <w:rPrChange w:id="206" w:author="1＆0" w:date="2026-04-09T20:50:29Z">
              <w:rPr>
                <w:rFonts w:ascii="Helvetica" w:hAnsi="Helvetica" w:eastAsia="Helvetica" w:cs="Helvetica"/>
                <w:i w:val="0"/>
                <w:iCs w:val="0"/>
                <w:caps w:val="0"/>
                <w:color w:val="333333"/>
                <w:spacing w:val="0"/>
                <w:sz w:val="12"/>
                <w:szCs w:val="12"/>
                <w:shd w:val="clear" w:fill="FFFFFF"/>
              </w:rPr>
            </w:rPrChange>
          </w:rPr>
          <w:t>A likelihood ratio test</w:t>
        </w:r>
      </w:ins>
      <w:ins w:id="207" w:author="1＆0" w:date="2026-04-09T20:53:56Z">
        <w:r>
          <w:rPr>
            <w:rFonts w:hint="eastAsia" w:ascii="Times New Roman" w:hAnsi="Times New Roman" w:cs="Times New Roman"/>
            <w:i w:val="0"/>
            <w:iCs w:val="0"/>
            <w:caps w:val="0"/>
            <w:spacing w:val="0"/>
            <w:sz w:val="21"/>
            <w:szCs w:val="22"/>
            <w:shd w:val="clear"/>
            <w:lang w:val="en-US" w:eastAsia="zh-CN"/>
          </w:rPr>
          <w:t xml:space="preserve"> </w:t>
        </w:r>
      </w:ins>
      <w:ins w:id="208" w:author="1＆0" w:date="2026-04-09T20:53:51Z">
        <w:r>
          <w:rPr>
            <w:rFonts w:hint="eastAsia" w:ascii="Times New Roman" w:hAnsi="Times New Roman" w:cs="Times New Roman"/>
            <w:i w:val="0"/>
            <w:iCs w:val="0"/>
            <w:caps w:val="0"/>
            <w:spacing w:val="0"/>
            <w:sz w:val="21"/>
            <w:szCs w:val="22"/>
            <w:shd w:val="clear"/>
            <w:lang w:val="en-US" w:eastAsia="zh-CN"/>
          </w:rPr>
          <w:t>(</w:t>
        </w:r>
      </w:ins>
      <w:ins w:id="209" w:author="1＆0" w:date="2026-04-09T20:53:52Z">
        <w:r>
          <w:rPr>
            <w:rFonts w:hint="eastAsia" w:ascii="Times New Roman" w:hAnsi="Times New Roman" w:cs="Times New Roman"/>
            <w:i w:val="0"/>
            <w:iCs w:val="0"/>
            <w:caps w:val="0"/>
            <w:spacing w:val="0"/>
            <w:sz w:val="21"/>
            <w:szCs w:val="22"/>
            <w:shd w:val="clear"/>
            <w:lang w:val="en-US" w:eastAsia="zh-CN"/>
          </w:rPr>
          <w:t>L</w:t>
        </w:r>
      </w:ins>
      <w:ins w:id="210" w:author="1＆0" w:date="2026-04-09T20:53:53Z">
        <w:r>
          <w:rPr>
            <w:rFonts w:hint="eastAsia" w:ascii="Times New Roman" w:hAnsi="Times New Roman" w:cs="Times New Roman"/>
            <w:i w:val="0"/>
            <w:iCs w:val="0"/>
            <w:caps w:val="0"/>
            <w:spacing w:val="0"/>
            <w:sz w:val="21"/>
            <w:szCs w:val="22"/>
            <w:shd w:val="clear"/>
            <w:lang w:val="en-US" w:eastAsia="zh-CN"/>
          </w:rPr>
          <w:t>RT</w:t>
        </w:r>
      </w:ins>
      <w:ins w:id="211" w:author="1＆0" w:date="2026-04-09T20:53:55Z">
        <w:r>
          <w:rPr>
            <w:rFonts w:hint="eastAsia" w:ascii="Times New Roman" w:hAnsi="Times New Roman" w:cs="Times New Roman"/>
            <w:i w:val="0"/>
            <w:iCs w:val="0"/>
            <w:caps w:val="0"/>
            <w:spacing w:val="0"/>
            <w:sz w:val="21"/>
            <w:szCs w:val="22"/>
            <w:shd w:val="clear"/>
            <w:lang w:val="en-US" w:eastAsia="zh-CN"/>
          </w:rPr>
          <w:t>)</w:t>
        </w:r>
      </w:ins>
      <w:ins w:id="212" w:author="1＆0" w:date="2026-04-09T20:52:54Z">
        <w:r>
          <w:rPr>
            <w:rFonts w:hint="eastAsia" w:ascii="Times New Roman" w:hAnsi="Times New Roman" w:cs="Times New Roman"/>
            <w:i w:val="0"/>
            <w:iCs w:val="0"/>
            <w:caps w:val="0"/>
            <w:spacing w:val="0"/>
            <w:sz w:val="21"/>
            <w:szCs w:val="22"/>
            <w:shd w:val="clear"/>
            <w:lang w:val="en-US" w:eastAsia="zh-CN"/>
          </w:rPr>
          <w:t xml:space="preserve"> </w:t>
        </w:r>
      </w:ins>
      <w:ins w:id="213" w:author="1＆0" w:date="2026-04-09T20:50:27Z">
        <w:r>
          <w:rPr>
            <w:rFonts w:hint="eastAsia" w:ascii="Times New Roman" w:hAnsi="Times New Roman" w:cs="Times New Roman" w:eastAsiaTheme="minorEastAsia"/>
            <w:i w:val="0"/>
            <w:iCs w:val="0"/>
            <w:caps w:val="0"/>
            <w:color w:val="auto"/>
            <w:spacing w:val="0"/>
            <w:sz w:val="21"/>
            <w:szCs w:val="22"/>
            <w:shd w:val="clear" w:fill="auto"/>
            <w:rPrChange w:id="214" w:author="1＆0" w:date="2026-04-09T20:50:29Z">
              <w:rPr>
                <w:rFonts w:ascii="Helvetica" w:hAnsi="Helvetica" w:eastAsia="Helvetica" w:cs="Helvetica"/>
                <w:i w:val="0"/>
                <w:iCs w:val="0"/>
                <w:caps w:val="0"/>
                <w:color w:val="333333"/>
                <w:spacing w:val="0"/>
                <w:sz w:val="12"/>
                <w:szCs w:val="12"/>
                <w:shd w:val="clear" w:fill="FFFFFF"/>
              </w:rPr>
            </w:rPrChange>
          </w:rPr>
          <w:t xml:space="preserve">was performed </w:t>
        </w:r>
      </w:ins>
      <w:ins w:id="215" w:author="1＆0" w:date="2026-04-09T20:53:02Z">
        <w:r>
          <w:rPr>
            <w:rFonts w:hint="eastAsia" w:ascii="Times New Roman" w:hAnsi="Times New Roman" w:cs="Times New Roman"/>
            <w:i w:val="0"/>
            <w:iCs w:val="0"/>
            <w:caps w:val="0"/>
            <w:spacing w:val="0"/>
            <w:sz w:val="21"/>
            <w:szCs w:val="22"/>
            <w:shd w:val="clear"/>
            <w:lang w:val="en-US" w:eastAsia="zh-CN"/>
          </w:rPr>
          <w:t>to</w:t>
        </w:r>
      </w:ins>
      <w:ins w:id="216" w:author="1＆0" w:date="2026-04-09T20:53:03Z">
        <w:r>
          <w:rPr>
            <w:rFonts w:hint="eastAsia" w:ascii="Times New Roman" w:hAnsi="Times New Roman" w:cs="Times New Roman"/>
            <w:i w:val="0"/>
            <w:iCs w:val="0"/>
            <w:caps w:val="0"/>
            <w:spacing w:val="0"/>
            <w:sz w:val="21"/>
            <w:szCs w:val="22"/>
            <w:shd w:val="clear"/>
            <w:lang w:val="en-US" w:eastAsia="zh-CN"/>
          </w:rPr>
          <w:t xml:space="preserve"> </w:t>
        </w:r>
      </w:ins>
      <w:ins w:id="217" w:author="1＆0" w:date="2026-04-09T20:53:24Z">
        <w:r>
          <w:rPr>
            <w:rFonts w:hint="eastAsia" w:ascii="Times New Roman" w:hAnsi="Times New Roman" w:cs="Times New Roman" w:eastAsiaTheme="minorEastAsia"/>
            <w:i w:val="0"/>
            <w:iCs w:val="0"/>
            <w:caps w:val="0"/>
            <w:color w:val="auto"/>
            <w:spacing w:val="0"/>
            <w:sz w:val="21"/>
            <w:szCs w:val="22"/>
            <w:shd w:val="clear" w:fill="auto"/>
            <w:rPrChange w:id="218" w:author="1＆0" w:date="2026-04-09T20:53:36Z">
              <w:rPr>
                <w:rFonts w:ascii="Helvetica" w:hAnsi="Helvetica" w:eastAsia="Helvetica" w:cs="Helvetica"/>
                <w:i w:val="0"/>
                <w:iCs w:val="0"/>
                <w:caps w:val="0"/>
                <w:color w:val="333333"/>
                <w:spacing w:val="0"/>
                <w:sz w:val="12"/>
                <w:szCs w:val="12"/>
                <w:shd w:val="clear" w:fill="FFFFFF"/>
              </w:rPr>
            </w:rPrChange>
          </w:rPr>
          <w:t>identify</w:t>
        </w:r>
      </w:ins>
      <w:ins w:id="219" w:author="1＆0" w:date="2026-04-09T20:50:27Z">
        <w:r>
          <w:rPr>
            <w:rFonts w:hint="eastAsia" w:ascii="Times New Roman" w:hAnsi="Times New Roman" w:cs="Times New Roman" w:eastAsiaTheme="minorEastAsia"/>
            <w:i w:val="0"/>
            <w:iCs w:val="0"/>
            <w:caps w:val="0"/>
            <w:color w:val="auto"/>
            <w:spacing w:val="0"/>
            <w:sz w:val="21"/>
            <w:szCs w:val="22"/>
            <w:shd w:val="clear" w:fill="auto"/>
            <w:rPrChange w:id="220" w:author="1＆0" w:date="2026-04-09T20:50:29Z">
              <w:rPr>
                <w:rFonts w:ascii="Helvetica" w:hAnsi="Helvetica" w:eastAsia="Helvetica" w:cs="Helvetica"/>
                <w:i w:val="0"/>
                <w:iCs w:val="0"/>
                <w:caps w:val="0"/>
                <w:color w:val="333333"/>
                <w:spacing w:val="0"/>
                <w:sz w:val="12"/>
                <w:szCs w:val="12"/>
                <w:shd w:val="clear" w:fill="FFFFFF"/>
              </w:rPr>
            </w:rPrChange>
          </w:rPr>
          <w:t xml:space="preserve"> genes whose expression varied significantly across the groups (FDR&lt;0.05)</w:t>
        </w:r>
      </w:ins>
      <w:del w:id="221" w:author="1＆0" w:date="2026-04-09T18:32:27Z">
        <w:r>
          <w:rPr>
            <w:rFonts w:hint="eastAsia" w:ascii="Times New Roman" w:hAnsi="Times New Roman" w:cs="Times New Roman"/>
            <w:sz w:val="21"/>
            <w:szCs w:val="22"/>
          </w:rPr>
          <w:delText xml:space="preserve"> </w:delText>
        </w:r>
      </w:del>
      <w:del w:id="222" w:author="1＆0" w:date="2026-04-09T18:32:26Z">
        <w:r>
          <w:rPr>
            <w:rFonts w:hint="eastAsia" w:ascii="Times New Roman" w:hAnsi="Times New Roman" w:cs="Times New Roman"/>
            <w:sz w:val="21"/>
            <w:szCs w:val="22"/>
          </w:rPr>
          <w:delText>After quality control and normalization, gene expression matrices were obtained for downstream analysis</w:delText>
        </w:r>
      </w:del>
      <w:del w:id="223" w:author="1＆0" w:date="2026-04-09T18:32:27Z">
        <w:r>
          <w:rPr>
            <w:rFonts w:hint="eastAsia" w:ascii="Times New Roman" w:hAnsi="Times New Roman" w:cs="Times New Roman"/>
            <w:sz w:val="21"/>
            <w:szCs w:val="22"/>
          </w:rPr>
          <w:delText>.</w:delText>
        </w:r>
      </w:del>
      <w:ins w:id="224" w:author="1＆0" w:date="2026-04-09T20:53:43Z">
        <w:r>
          <w:rPr>
            <w:rFonts w:hint="eastAsia" w:ascii="Times New Roman" w:hAnsi="Times New Roman" w:cs="Times New Roman"/>
            <w:sz w:val="21"/>
            <w:szCs w:val="22"/>
            <w:lang w:val="en-US" w:eastAsia="zh-CN"/>
          </w:rPr>
          <w:t xml:space="preserve">. </w:t>
        </w:r>
      </w:ins>
      <w:ins w:id="225" w:author="1＆0" w:date="2026-04-09T20:54:26Z">
        <w:r>
          <w:rPr>
            <w:rFonts w:hint="eastAsia" w:ascii="Times New Roman" w:hAnsi="Times New Roman" w:cs="Times New Roman" w:eastAsiaTheme="minorEastAsia"/>
            <w:i w:val="0"/>
            <w:iCs w:val="0"/>
            <w:caps w:val="0"/>
            <w:color w:val="auto"/>
            <w:spacing w:val="0"/>
            <w:sz w:val="21"/>
            <w:szCs w:val="22"/>
            <w:shd w:val="clear" w:fill="auto"/>
            <w:rPrChange w:id="226" w:author="1＆0" w:date="2026-04-09T20:54:28Z">
              <w:rPr>
                <w:rFonts w:ascii="Helvetica" w:hAnsi="Helvetica" w:eastAsia="Helvetica" w:cs="Helvetica"/>
                <w:i w:val="0"/>
                <w:iCs w:val="0"/>
                <w:caps w:val="0"/>
                <w:color w:val="333333"/>
                <w:spacing w:val="0"/>
                <w:sz w:val="12"/>
                <w:szCs w:val="12"/>
                <w:shd w:val="clear" w:fill="FFFFFF"/>
              </w:rPr>
            </w:rPrChange>
          </w:rPr>
          <w:t>Among LRT-significant genes, VST-normalized mean expression values across three experimental states (WT_Control, DB_Control, and DB_Treated) were used as feature vectors for k-means clustering (k = 6).</w:t>
        </w:r>
      </w:ins>
      <w:ins w:id="227" w:author="1＆0" w:date="2026-04-28T10:44:35Z">
        <w:r>
          <w:rPr>
            <w:rFonts w:hint="eastAsia" w:ascii="Times New Roman" w:hAnsi="Times New Roman" w:cs="Times New Roman"/>
            <w:i w:val="0"/>
            <w:iCs w:val="0"/>
            <w:caps w:val="0"/>
            <w:color w:val="auto"/>
            <w:spacing w:val="0"/>
            <w:sz w:val="21"/>
            <w:szCs w:val="22"/>
            <w:shd w:val="clear" w:fill="auto"/>
            <w:lang w:val="en-US" w:eastAsia="zh-CN"/>
          </w:rPr>
          <w:t xml:space="preserve"> </w:t>
        </w:r>
      </w:ins>
      <w:ins w:id="228" w:author="1＆0" w:date="2026-04-28T10:42:17Z">
        <w:r>
          <w:rPr>
            <w:rFonts w:hint="eastAsia" w:ascii="Times New Roman" w:hAnsi="Times New Roman" w:cs="Times New Roman" w:eastAsiaTheme="minorEastAsia"/>
            <w:i w:val="0"/>
            <w:iCs w:val="0"/>
            <w:caps w:val="0"/>
            <w:color w:val="auto"/>
            <w:spacing w:val="0"/>
            <w:sz w:val="21"/>
            <w:szCs w:val="22"/>
            <w:shd w:val="clear" w:fill="auto"/>
            <w:rPrChange w:id="229" w:author="1＆0" w:date="2026-04-28T10:44:31Z">
              <w:rPr>
                <w:rFonts w:ascii="Helvetica" w:hAnsi="Helvetica" w:eastAsia="Helvetica" w:cs="Helvetica"/>
                <w:i w:val="0"/>
                <w:iCs w:val="0"/>
                <w:caps w:val="0"/>
                <w:color w:val="333333"/>
                <w:spacing w:val="0"/>
                <w:sz w:val="12"/>
                <w:szCs w:val="12"/>
                <w:shd w:val="clear" w:fill="FFFFFF"/>
              </w:rPr>
            </w:rPrChange>
          </w:rPr>
          <w:t>Rescue clusters were defined as those satisfying: (i) a substantial shift in DB_Control relative to WT_Control, and (ii) a reversal toward WT_Control values in DB_Treated, capturing the recovery trajectory</w:t>
        </w:r>
      </w:ins>
      <w:ins w:id="230" w:author="1＆0" w:date="2026-04-28T10:45:03Z">
        <w:r>
          <w:rPr>
            <w:rFonts w:hint="eastAsia" w:ascii="Times New Roman" w:hAnsi="Times New Roman" w:cs="Times New Roman"/>
            <w:i w:val="0"/>
            <w:iCs w:val="0"/>
            <w:caps w:val="0"/>
            <w:color w:val="auto"/>
            <w:spacing w:val="0"/>
            <w:sz w:val="21"/>
            <w:szCs w:val="22"/>
            <w:shd w:val="clear" w:fill="auto"/>
            <w:lang w:val="en-US" w:eastAsia="zh-CN"/>
          </w:rPr>
          <w:t>.</w:t>
        </w:r>
      </w:ins>
      <w:ins w:id="231" w:author="1＆0" w:date="2026-04-28T10:45:07Z">
        <w:r>
          <w:rPr>
            <w:rFonts w:hint="eastAsia" w:ascii="Times New Roman" w:hAnsi="Times New Roman" w:cs="Times New Roman"/>
            <w:i w:val="0"/>
            <w:iCs w:val="0"/>
            <w:caps w:val="0"/>
            <w:color w:val="auto"/>
            <w:spacing w:val="0"/>
            <w:sz w:val="21"/>
            <w:szCs w:val="22"/>
            <w:shd w:val="clear" w:fill="auto"/>
            <w:lang w:val="en-US" w:eastAsia="zh-CN"/>
          </w:rPr>
          <w:t xml:space="preserve"> </w:t>
        </w:r>
      </w:ins>
      <w:ins w:id="232" w:author="1＆0" w:date="2026-04-09T20:54:48Z">
        <w:r>
          <w:rPr>
            <w:rFonts w:hint="eastAsia" w:ascii="Times New Roman" w:hAnsi="Times New Roman" w:cs="Times New Roman" w:eastAsiaTheme="minorEastAsia"/>
            <w:i w:val="0"/>
            <w:iCs w:val="0"/>
            <w:caps w:val="0"/>
            <w:spacing w:val="0"/>
            <w:sz w:val="21"/>
            <w:szCs w:val="22"/>
            <w:shd w:val="clear"/>
          </w:rPr>
          <w:t>A gene-level rescue score was additionally computed for each LRT-significant gene as:</w:t>
        </w:r>
      </w:ins>
    </w:p>
    <w:p w14:paraId="32DBBE15">
      <w:pPr>
        <w:ind w:firstLine="420" w:firstLineChars="200"/>
        <w:jc w:val="both"/>
        <w:rPr>
          <w:ins w:id="233" w:author="1＆0" w:date="2026-04-09T20:54:56Z"/>
          <w:rFonts w:hint="eastAsia" w:ascii="Times New Roman" w:hAnsi="Times New Roman" w:cs="Times New Roman" w:eastAsiaTheme="minorEastAsia"/>
          <w:i w:val="0"/>
          <w:iCs w:val="0"/>
          <w:caps w:val="0"/>
          <w:spacing w:val="0"/>
          <w:sz w:val="21"/>
          <w:szCs w:val="22"/>
          <w:shd w:val="clear"/>
        </w:rPr>
      </w:pPr>
      <m:oMathPara>
        <m:oMath>
          <w:ins w:id="234" w:author="1＆0" w:date="2026-04-09T20:55:53Z">
            <m:r>
              <m:rPr>
                <m:nor/>
              </m:rPr>
              <w:rPr>
                <w:rFonts w:hint="default" w:ascii="Times New Roman" w:hAnsi="Times New Roman" w:cs="Times New Roman" w:eastAsiaTheme="minorEastAsia"/>
                <w:i/>
                <w:sz w:val="21"/>
                <w:rPrChange w:id="235" w:author="1＆0" w:date="2026-04-09T20:56:18Z">
                  <w:rPr>
                    <w:rFonts w:hint="default" w:ascii="Cambria Math" w:hAnsi="Cambria Math" w:eastAsiaTheme="minorEastAsia"/>
                    <w:i/>
                    <w:sz w:val="21"/>
                  </w:rPr>
                </w:rPrChange>
              </w:rPr>
              <m:t>Rescue</m:t>
            </m:r>
          </w:ins>
          <w:ins w:id="236" w:author="1＆0" w:date="2026-04-09T20:55:53Z">
            <m:r>
              <m:rPr>
                <m:nor/>
                <m:sty m:val="p"/>
              </m:rPr>
              <w:rPr>
                <w:rFonts w:hint="default" w:ascii="Times New Roman" w:hAnsi="Times New Roman" w:cs="Times New Roman" w:eastAsiaTheme="minorEastAsia"/>
                <w:b w:val="0"/>
                <w:i w:val="0"/>
                <w:sz w:val="21"/>
                <w:rPrChange w:id="237" w:author="1＆0" w:date="2026-04-09T20:56:18Z">
                  <w:rPr>
                    <w:rFonts w:hint="default" w:ascii="Cambria Math" w:hAnsi="Cambria Math" w:eastAsiaTheme="minorEastAsia"/>
                    <w:b w:val="0"/>
                    <w:i w:val="0"/>
                    <w:sz w:val="21"/>
                  </w:rPr>
                </w:rPrChange>
              </w:rPr>
              <m:t xml:space="preserve"> </m:t>
            </m:r>
          </w:ins>
          <w:ins w:id="238" w:author="1＆0" w:date="2026-04-09T20:55:53Z">
            <m:r>
              <m:rPr>
                <m:nor/>
              </m:rPr>
              <w:rPr>
                <w:rFonts w:hint="default" w:ascii="Times New Roman" w:hAnsi="Times New Roman" w:cs="Times New Roman" w:eastAsiaTheme="minorEastAsia"/>
                <w:i/>
                <w:sz w:val="21"/>
                <w:rPrChange w:id="239" w:author="1＆0" w:date="2026-04-09T20:56:18Z">
                  <w:rPr>
                    <w:rFonts w:hint="default" w:ascii="Cambria Math" w:hAnsi="Cambria Math" w:eastAsiaTheme="minorEastAsia"/>
                    <w:i/>
                    <w:sz w:val="21"/>
                  </w:rPr>
                </w:rPrChange>
              </w:rPr>
              <m:t>Score</m:t>
            </m:r>
          </w:ins>
          <w:ins w:id="240" w:author="1＆0" w:date="2026-04-09T20:55:53Z">
            <m:r>
              <m:rPr>
                <m:nor/>
                <m:sty m:val="p"/>
              </m:rPr>
              <w:rPr>
                <w:rFonts w:hint="default" w:ascii="Times New Roman" w:hAnsi="Times New Roman" w:cs="Times New Roman" w:eastAsiaTheme="minorEastAsia"/>
                <w:b w:val="0"/>
                <w:i w:val="0"/>
                <w:sz w:val="21"/>
                <w:rPrChange w:id="241" w:author="1＆0" w:date="2026-04-09T20:56:18Z">
                  <w:rPr>
                    <w:rFonts w:hint="default" w:ascii="Cambria Math" w:hAnsi="Cambria Math" w:eastAsiaTheme="minorEastAsia"/>
                    <w:b w:val="0"/>
                    <w:i w:val="0"/>
                    <w:sz w:val="21"/>
                  </w:rPr>
                </w:rPrChange>
              </w:rPr>
              <m:t>=−</m:t>
            </m:r>
          </w:ins>
          <m:f>
            <m:fPr>
              <m:ctrlPr>
                <w:ins w:id="242" w:author="1＆0" w:date="2026-04-09T20:55:53Z">
                  <w:rPr>
                    <w:rFonts w:hint="default" w:ascii="Cambria Math" w:hAnsi="Cambria Math" w:cs="Times New Roman" w:eastAsiaTheme="minorEastAsia"/>
                    <w:i/>
                    <w:sz w:val="21"/>
                    <w:rPrChange w:id="243" w:author="1＆0" w:date="2026-04-09T20:56:18Z">
                      <w:rPr>
                        <w:rFonts w:hint="default" w:ascii="Cambria Math" w:hAnsi="Cambria Math" w:eastAsiaTheme="minorEastAsia"/>
                        <w:i/>
                        <w:sz w:val="21"/>
                      </w:rPr>
                    </w:rPrChange>
                  </w:rPr>
                </w:ins>
              </m:ctrlPr>
            </m:fPr>
            <m:num>
              <m:sSub>
                <m:sSubPr>
                  <m:ctrlPr>
                    <w:ins w:id="244" w:author="1＆0" w:date="2026-04-09T20:55:53Z">
                      <w:rPr>
                        <w:rFonts w:hint="default" w:ascii="Cambria Math" w:hAnsi="Cambria Math" w:cs="Times New Roman" w:eastAsiaTheme="minorEastAsia"/>
                        <w:sz w:val="21"/>
                        <w:rPrChange w:id="245" w:author="1＆0" w:date="2026-04-09T20:56:18Z">
                          <w:rPr>
                            <w:rFonts w:hint="default" w:ascii="Cambria Math" w:hAnsi="Cambria Math" w:eastAsiaTheme="minorEastAsia"/>
                            <w:sz w:val="21"/>
                          </w:rPr>
                        </w:rPrChange>
                      </w:rPr>
                    </w:ins>
                  </m:ctrlPr>
                </m:sSubPr>
                <m:e>
                  <w:ins w:id="246" w:author="1＆0" w:date="2026-04-09T20:55:53Z">
                    <m:r>
                      <m:rPr>
                        <m:nor/>
                      </m:rPr>
                      <w:rPr>
                        <w:rFonts w:hint="default" w:ascii="Times New Roman" w:hAnsi="Times New Roman" w:cs="Times New Roman" w:eastAsiaTheme="minorEastAsia"/>
                        <w:i/>
                        <w:sz w:val="21"/>
                        <w:rPrChange w:id="247" w:author="1＆0" w:date="2026-04-09T20:56:18Z">
                          <w:rPr>
                            <w:rFonts w:hint="default" w:ascii="Cambria Math" w:hAnsi="Cambria Math" w:eastAsiaTheme="minorEastAsia"/>
                            <w:i/>
                            <w:sz w:val="21"/>
                          </w:rPr>
                        </w:rPrChange>
                      </w:rPr>
                      <m:t>LFC</m:t>
                    </m:r>
                  </w:ins>
                  <m:ctrlPr>
                    <w:ins w:id="248" w:author="1＆0" w:date="2026-04-09T20:55:53Z">
                      <w:rPr>
                        <w:rFonts w:ascii="Cambria Math" w:hAnsi="Cambria Math" w:cs="Times New Roman" w:eastAsiaTheme="minorEastAsia"/>
                        <w:sz w:val="21"/>
                        <w:rPrChange w:id="249" w:author="1＆0" w:date="2026-04-09T20:56:18Z">
                          <w:rPr>
                            <w:rFonts w:ascii="Cambria Math" w:hAnsi="Cambria Math" w:eastAsiaTheme="minorEastAsia"/>
                            <w:sz w:val="21"/>
                          </w:rPr>
                        </w:rPrChange>
                      </w:rPr>
                    </w:ins>
                  </m:ctrlPr>
                </m:e>
                <m:sub>
                  <w:ins w:id="250" w:author="1＆0" w:date="2026-04-09T20:55:53Z">
                    <m:r>
                      <m:rPr>
                        <m:nor/>
                      </m:rPr>
                      <w:rPr>
                        <w:rFonts w:hint="default" w:ascii="Times New Roman" w:hAnsi="Times New Roman" w:cs="Times New Roman" w:eastAsiaTheme="minorEastAsia"/>
                        <w:i/>
                        <w:sz w:val="21"/>
                        <w:rPrChange w:id="251" w:author="1＆0" w:date="2026-04-09T20:56:18Z">
                          <w:rPr>
                            <w:rFonts w:hint="default" w:ascii="Cambria Math" w:hAnsi="Cambria Math" w:eastAsiaTheme="minorEastAsia"/>
                            <w:i/>
                            <w:sz w:val="21"/>
                          </w:rPr>
                        </w:rPrChange>
                      </w:rPr>
                      <m:t>DB</m:t>
                    </m:r>
                  </w:ins>
                  <w:ins w:id="252" w:author="1＆0" w:date="2026-04-09T20:55:53Z">
                    <m:r>
                      <m:rPr>
                        <m:nor/>
                        <m:sty m:val="p"/>
                      </m:rPr>
                      <w:rPr>
                        <w:rFonts w:hint="default" w:ascii="Times New Roman" w:hAnsi="Times New Roman" w:cs="Times New Roman" w:eastAsiaTheme="minorEastAsia"/>
                        <w:b w:val="0"/>
                        <w:i w:val="0"/>
                        <w:sz w:val="21"/>
                        <w:rPrChange w:id="253" w:author="1＆0" w:date="2026-04-09T20:56:18Z">
                          <w:rPr>
                            <w:rFonts w:hint="default" w:ascii="Cambria Math" w:hAnsi="Cambria Math" w:eastAsiaTheme="minorEastAsia"/>
                            <w:b w:val="0"/>
                            <w:i w:val="0"/>
                            <w:sz w:val="21"/>
                          </w:rPr>
                        </w:rPrChange>
                      </w:rPr>
                      <m:t>_</m:t>
                    </m:r>
                  </w:ins>
                  <w:ins w:id="254" w:author="1＆0" w:date="2026-04-09T20:55:53Z">
                    <m:r>
                      <m:rPr>
                        <m:nor/>
                      </m:rPr>
                      <w:rPr>
                        <w:rFonts w:hint="default" w:ascii="Times New Roman" w:hAnsi="Times New Roman" w:cs="Times New Roman" w:eastAsiaTheme="minorEastAsia"/>
                        <w:i/>
                        <w:sz w:val="21"/>
                        <w:rPrChange w:id="255" w:author="1＆0" w:date="2026-04-09T20:56:18Z">
                          <w:rPr>
                            <w:rFonts w:hint="default" w:ascii="Cambria Math" w:hAnsi="Cambria Math" w:eastAsiaTheme="minorEastAsia"/>
                            <w:i/>
                            <w:sz w:val="21"/>
                          </w:rPr>
                        </w:rPrChange>
                      </w:rPr>
                      <m:t>Treated</m:t>
                    </m:r>
                  </w:ins>
                  <w:ins w:id="256" w:author="1＆0" w:date="2026-04-09T20:55:53Z">
                    <m:r>
                      <m:rPr>
                        <m:nor/>
                        <m:sty m:val="p"/>
                      </m:rPr>
                      <w:rPr>
                        <w:rFonts w:hint="default" w:ascii="Times New Roman" w:hAnsi="Times New Roman" w:cs="Times New Roman" w:eastAsiaTheme="minorEastAsia"/>
                        <w:b w:val="0"/>
                        <w:i w:val="0"/>
                        <w:sz w:val="21"/>
                        <w:rPrChange w:id="257" w:author="1＆0" w:date="2026-04-09T20:56:18Z">
                          <w:rPr>
                            <w:rFonts w:hint="default" w:ascii="Cambria Math" w:hAnsi="Cambria Math" w:eastAsiaTheme="minorEastAsia"/>
                            <w:b w:val="0"/>
                            <w:i w:val="0"/>
                            <w:sz w:val="21"/>
                          </w:rPr>
                        </w:rPrChange>
                      </w:rPr>
                      <m:t>/</m:t>
                    </m:r>
                  </w:ins>
                  <w:ins w:id="258" w:author="1＆0" w:date="2026-04-09T20:55:53Z">
                    <m:r>
                      <m:rPr>
                        <m:nor/>
                      </m:rPr>
                      <w:rPr>
                        <w:rFonts w:hint="default" w:ascii="Times New Roman" w:hAnsi="Times New Roman" w:cs="Times New Roman" w:eastAsiaTheme="minorEastAsia"/>
                        <w:i/>
                        <w:sz w:val="21"/>
                        <w:rPrChange w:id="259" w:author="1＆0" w:date="2026-04-09T20:56:18Z">
                          <w:rPr>
                            <w:rFonts w:hint="default" w:ascii="Cambria Math" w:hAnsi="Cambria Math" w:eastAsiaTheme="minorEastAsia"/>
                            <w:i/>
                            <w:sz w:val="21"/>
                          </w:rPr>
                        </w:rPrChange>
                      </w:rPr>
                      <m:t>DB</m:t>
                    </m:r>
                  </w:ins>
                  <w:ins w:id="260" w:author="1＆0" w:date="2026-04-09T20:55:53Z">
                    <m:r>
                      <m:rPr>
                        <m:nor/>
                        <m:sty m:val="p"/>
                      </m:rPr>
                      <w:rPr>
                        <w:rFonts w:hint="default" w:ascii="Times New Roman" w:hAnsi="Times New Roman" w:cs="Times New Roman" w:eastAsiaTheme="minorEastAsia"/>
                        <w:b w:val="0"/>
                        <w:i w:val="0"/>
                        <w:sz w:val="21"/>
                        <w:rPrChange w:id="261" w:author="1＆0" w:date="2026-04-09T20:56:18Z">
                          <w:rPr>
                            <w:rFonts w:hint="default" w:ascii="Cambria Math" w:hAnsi="Cambria Math" w:eastAsiaTheme="minorEastAsia"/>
                            <w:b w:val="0"/>
                            <w:i w:val="0"/>
                            <w:sz w:val="21"/>
                          </w:rPr>
                        </w:rPrChange>
                      </w:rPr>
                      <m:t>_</m:t>
                    </m:r>
                  </w:ins>
                  <w:ins w:id="262" w:author="1＆0" w:date="2026-04-09T20:55:53Z">
                    <m:r>
                      <m:rPr>
                        <m:nor/>
                      </m:rPr>
                      <w:rPr>
                        <w:rFonts w:hint="default" w:ascii="Times New Roman" w:hAnsi="Times New Roman" w:cs="Times New Roman" w:eastAsiaTheme="minorEastAsia"/>
                        <w:i/>
                        <w:sz w:val="21"/>
                        <w:rPrChange w:id="263" w:author="1＆0" w:date="2026-04-09T20:56:18Z">
                          <w:rPr>
                            <w:rFonts w:hint="default" w:ascii="Cambria Math" w:hAnsi="Cambria Math" w:eastAsiaTheme="minorEastAsia"/>
                            <w:i/>
                            <w:sz w:val="21"/>
                          </w:rPr>
                        </w:rPrChange>
                      </w:rPr>
                      <m:t>Control</m:t>
                    </m:r>
                  </w:ins>
                  <m:ctrlPr>
                    <w:ins w:id="264" w:author="1＆0" w:date="2026-04-09T20:55:53Z">
                      <w:rPr>
                        <w:rFonts w:ascii="Cambria Math" w:hAnsi="Cambria Math" w:cs="Times New Roman" w:eastAsiaTheme="minorEastAsia"/>
                        <w:sz w:val="21"/>
                        <w:rPrChange w:id="265" w:author="1＆0" w:date="2026-04-09T20:56:18Z">
                          <w:rPr>
                            <w:rFonts w:ascii="Cambria Math" w:hAnsi="Cambria Math" w:eastAsiaTheme="minorEastAsia"/>
                            <w:sz w:val="21"/>
                          </w:rPr>
                        </w:rPrChange>
                      </w:rPr>
                    </w:ins>
                  </m:ctrlPr>
                </m:sub>
              </m:sSub>
              <m:ctrlPr>
                <w:ins w:id="266" w:author="1＆0" w:date="2026-04-09T20:55:53Z">
                  <w:rPr>
                    <w:rFonts w:hint="default" w:ascii="Cambria Math" w:hAnsi="Cambria Math" w:cs="Times New Roman" w:eastAsiaTheme="minorEastAsia"/>
                    <w:sz w:val="21"/>
                    <w:rPrChange w:id="267" w:author="1＆0" w:date="2026-04-09T20:56:18Z">
                      <w:rPr>
                        <w:rFonts w:hint="default" w:ascii="Cambria Math" w:hAnsi="Cambria Math" w:eastAsiaTheme="minorEastAsia"/>
                        <w:sz w:val="21"/>
                      </w:rPr>
                    </w:rPrChange>
                  </w:rPr>
                </w:ins>
              </m:ctrlPr>
            </m:num>
            <m:den>
              <m:sSub>
                <m:sSubPr>
                  <m:ctrlPr>
                    <w:ins w:id="268" w:author="1＆0" w:date="2026-04-09T20:55:53Z">
                      <w:rPr>
                        <w:rFonts w:hint="default" w:ascii="Cambria Math" w:hAnsi="Cambria Math" w:cs="Times New Roman" w:eastAsiaTheme="minorEastAsia"/>
                        <w:sz w:val="21"/>
                        <w:rPrChange w:id="269" w:author="1＆0" w:date="2026-04-09T20:56:18Z">
                          <w:rPr>
                            <w:rFonts w:hint="default" w:ascii="Cambria Math" w:hAnsi="Cambria Math" w:eastAsiaTheme="minorEastAsia"/>
                            <w:sz w:val="21"/>
                          </w:rPr>
                        </w:rPrChange>
                      </w:rPr>
                    </w:ins>
                  </m:ctrlPr>
                </m:sSubPr>
                <m:e>
                  <w:ins w:id="270" w:author="1＆0" w:date="2026-04-09T20:55:53Z">
                    <m:r>
                      <m:rPr>
                        <m:nor/>
                      </m:rPr>
                      <w:rPr>
                        <w:rFonts w:hint="default" w:ascii="Times New Roman" w:hAnsi="Times New Roman" w:cs="Times New Roman" w:eastAsiaTheme="minorEastAsia"/>
                        <w:i/>
                        <w:sz w:val="21"/>
                        <w:rPrChange w:id="271" w:author="1＆0" w:date="2026-04-09T20:56:18Z">
                          <w:rPr>
                            <w:rFonts w:hint="default" w:ascii="Cambria Math" w:hAnsi="Cambria Math" w:eastAsiaTheme="minorEastAsia"/>
                            <w:i/>
                            <w:sz w:val="21"/>
                          </w:rPr>
                        </w:rPrChange>
                      </w:rPr>
                      <m:t>LFC</m:t>
                    </m:r>
                  </w:ins>
                  <m:ctrlPr>
                    <w:ins w:id="272" w:author="1＆0" w:date="2026-04-09T20:55:53Z">
                      <w:rPr>
                        <w:rFonts w:ascii="Cambria Math" w:hAnsi="Cambria Math" w:cs="Times New Roman" w:eastAsiaTheme="minorEastAsia"/>
                        <w:sz w:val="21"/>
                        <w:rPrChange w:id="273" w:author="1＆0" w:date="2026-04-09T20:56:18Z">
                          <w:rPr>
                            <w:rFonts w:ascii="Cambria Math" w:hAnsi="Cambria Math" w:eastAsiaTheme="minorEastAsia"/>
                            <w:sz w:val="21"/>
                          </w:rPr>
                        </w:rPrChange>
                      </w:rPr>
                    </w:ins>
                  </m:ctrlPr>
                </m:e>
                <m:sub>
                  <w:ins w:id="274" w:author="1＆0" w:date="2026-04-09T20:55:53Z">
                    <m:r>
                      <m:rPr>
                        <m:nor/>
                      </m:rPr>
                      <w:rPr>
                        <w:rFonts w:hint="default" w:ascii="Times New Roman" w:hAnsi="Times New Roman" w:cs="Times New Roman" w:eastAsiaTheme="minorEastAsia"/>
                        <w:i/>
                        <w:sz w:val="21"/>
                        <w:rPrChange w:id="275" w:author="1＆0" w:date="2026-04-09T20:56:18Z">
                          <w:rPr>
                            <w:rFonts w:hint="default" w:ascii="Cambria Math" w:hAnsi="Cambria Math" w:eastAsiaTheme="minorEastAsia"/>
                            <w:i/>
                            <w:sz w:val="21"/>
                          </w:rPr>
                        </w:rPrChange>
                      </w:rPr>
                      <m:t>DB</m:t>
                    </m:r>
                  </w:ins>
                  <w:ins w:id="276" w:author="1＆0" w:date="2026-04-09T20:55:53Z">
                    <m:r>
                      <m:rPr>
                        <m:nor/>
                        <m:sty m:val="p"/>
                      </m:rPr>
                      <w:rPr>
                        <w:rFonts w:hint="default" w:ascii="Times New Roman" w:hAnsi="Times New Roman" w:cs="Times New Roman" w:eastAsiaTheme="minorEastAsia"/>
                        <w:b w:val="0"/>
                        <w:i w:val="0"/>
                        <w:sz w:val="21"/>
                        <w:rPrChange w:id="277" w:author="1＆0" w:date="2026-04-09T20:56:18Z">
                          <w:rPr>
                            <w:rFonts w:hint="default" w:ascii="Cambria Math" w:hAnsi="Cambria Math" w:eastAsiaTheme="minorEastAsia"/>
                            <w:b w:val="0"/>
                            <w:i w:val="0"/>
                            <w:sz w:val="21"/>
                          </w:rPr>
                        </w:rPrChange>
                      </w:rPr>
                      <m:t>_</m:t>
                    </m:r>
                  </w:ins>
                  <w:ins w:id="278" w:author="1＆0" w:date="2026-04-09T20:55:53Z">
                    <m:r>
                      <m:rPr>
                        <m:nor/>
                      </m:rPr>
                      <w:rPr>
                        <w:rFonts w:hint="default" w:ascii="Times New Roman" w:hAnsi="Times New Roman" w:cs="Times New Roman" w:eastAsiaTheme="minorEastAsia"/>
                        <w:i/>
                        <w:sz w:val="21"/>
                        <w:rPrChange w:id="279" w:author="1＆0" w:date="2026-04-09T20:56:18Z">
                          <w:rPr>
                            <w:rFonts w:hint="default" w:ascii="Cambria Math" w:hAnsi="Cambria Math" w:eastAsiaTheme="minorEastAsia"/>
                            <w:i/>
                            <w:sz w:val="21"/>
                          </w:rPr>
                        </w:rPrChange>
                      </w:rPr>
                      <m:t>Control</m:t>
                    </m:r>
                  </w:ins>
                  <w:ins w:id="280" w:author="1＆0" w:date="2026-04-09T20:55:53Z">
                    <m:r>
                      <m:rPr>
                        <m:nor/>
                        <m:sty m:val="p"/>
                      </m:rPr>
                      <w:rPr>
                        <w:rFonts w:hint="default" w:ascii="Times New Roman" w:hAnsi="Times New Roman" w:cs="Times New Roman" w:eastAsiaTheme="minorEastAsia"/>
                        <w:b w:val="0"/>
                        <w:i w:val="0"/>
                        <w:sz w:val="21"/>
                        <w:rPrChange w:id="281" w:author="1＆0" w:date="2026-04-09T20:56:18Z">
                          <w:rPr>
                            <w:rFonts w:hint="default" w:ascii="Cambria Math" w:hAnsi="Cambria Math" w:eastAsiaTheme="minorEastAsia"/>
                            <w:b w:val="0"/>
                            <w:i w:val="0"/>
                            <w:sz w:val="21"/>
                          </w:rPr>
                        </w:rPrChange>
                      </w:rPr>
                      <m:t>/</m:t>
                    </m:r>
                  </w:ins>
                  <w:ins w:id="282" w:author="1＆0" w:date="2026-04-09T20:55:53Z">
                    <m:r>
                      <m:rPr>
                        <m:nor/>
                      </m:rPr>
                      <w:rPr>
                        <w:rFonts w:hint="default" w:ascii="Times New Roman" w:hAnsi="Times New Roman" w:cs="Times New Roman" w:eastAsiaTheme="minorEastAsia"/>
                        <w:i/>
                        <w:sz w:val="21"/>
                        <w:rPrChange w:id="283" w:author="1＆0" w:date="2026-04-09T20:56:18Z">
                          <w:rPr>
                            <w:rFonts w:hint="default" w:ascii="Cambria Math" w:hAnsi="Cambria Math" w:eastAsiaTheme="minorEastAsia"/>
                            <w:i/>
                            <w:sz w:val="21"/>
                          </w:rPr>
                        </w:rPrChange>
                      </w:rPr>
                      <m:t>WT</m:t>
                    </m:r>
                  </w:ins>
                  <w:ins w:id="284" w:author="1＆0" w:date="2026-04-09T20:55:53Z">
                    <m:r>
                      <m:rPr>
                        <m:nor/>
                        <m:sty m:val="p"/>
                      </m:rPr>
                      <w:rPr>
                        <w:rFonts w:hint="default" w:ascii="Times New Roman" w:hAnsi="Times New Roman" w:cs="Times New Roman" w:eastAsiaTheme="minorEastAsia"/>
                        <w:b w:val="0"/>
                        <w:i w:val="0"/>
                        <w:sz w:val="21"/>
                        <w:rPrChange w:id="285" w:author="1＆0" w:date="2026-04-09T20:56:18Z">
                          <w:rPr>
                            <w:rFonts w:hint="default" w:ascii="Cambria Math" w:hAnsi="Cambria Math" w:eastAsiaTheme="minorEastAsia"/>
                            <w:b w:val="0"/>
                            <w:i w:val="0"/>
                            <w:sz w:val="21"/>
                          </w:rPr>
                        </w:rPrChange>
                      </w:rPr>
                      <m:t>_</m:t>
                    </m:r>
                  </w:ins>
                  <w:ins w:id="286" w:author="1＆0" w:date="2026-04-09T20:55:53Z">
                    <m:r>
                      <m:rPr>
                        <m:nor/>
                      </m:rPr>
                      <w:rPr>
                        <w:rFonts w:hint="default" w:ascii="Times New Roman" w:hAnsi="Times New Roman" w:cs="Times New Roman" w:eastAsiaTheme="minorEastAsia"/>
                        <w:i/>
                        <w:sz w:val="21"/>
                        <w:rPrChange w:id="287" w:author="1＆0" w:date="2026-04-09T20:56:18Z">
                          <w:rPr>
                            <w:rFonts w:hint="default" w:ascii="Cambria Math" w:hAnsi="Cambria Math" w:eastAsiaTheme="minorEastAsia"/>
                            <w:i/>
                            <w:sz w:val="21"/>
                          </w:rPr>
                        </w:rPrChange>
                      </w:rPr>
                      <m:t>Control</m:t>
                    </m:r>
                  </w:ins>
                  <m:ctrlPr>
                    <w:ins w:id="288" w:author="1＆0" w:date="2026-04-09T20:55:53Z">
                      <w:rPr>
                        <w:rFonts w:ascii="Cambria Math" w:hAnsi="Cambria Math" w:cs="Times New Roman" w:eastAsiaTheme="minorEastAsia"/>
                        <w:sz w:val="21"/>
                        <w:rPrChange w:id="289" w:author="1＆0" w:date="2026-04-09T20:56:18Z">
                          <w:rPr>
                            <w:rFonts w:ascii="Cambria Math" w:hAnsi="Cambria Math" w:eastAsiaTheme="minorEastAsia"/>
                            <w:sz w:val="21"/>
                          </w:rPr>
                        </w:rPrChange>
                      </w:rPr>
                    </w:ins>
                  </m:ctrlPr>
                </m:sub>
              </m:sSub>
              <m:ctrlPr>
                <w:ins w:id="290" w:author="1＆0" w:date="2026-04-09T20:55:53Z">
                  <w:rPr>
                    <w:rFonts w:hint="default" w:ascii="Cambria Math" w:hAnsi="Cambria Math" w:cs="Times New Roman" w:eastAsiaTheme="minorEastAsia"/>
                    <w:sz w:val="21"/>
                    <w:rPrChange w:id="291" w:author="1＆0" w:date="2026-04-09T20:56:18Z">
                      <w:rPr>
                        <w:rFonts w:hint="default" w:ascii="Cambria Math" w:hAnsi="Cambria Math" w:eastAsiaTheme="minorEastAsia"/>
                        <w:sz w:val="21"/>
                      </w:rPr>
                    </w:rPrChange>
                  </w:rPr>
                </w:ins>
              </m:ctrlPr>
            </m:den>
          </m:f>
        </m:oMath>
      </m:oMathPara>
    </w:p>
    <w:p w14:paraId="0B67D472">
      <w:pPr>
        <w:ind w:firstLine="420" w:firstLineChars="200"/>
        <w:jc w:val="both"/>
        <w:rPr>
          <w:ins w:id="292" w:author="1＆0" w:date="2026-04-09T20:50:53Z"/>
          <w:rFonts w:hint="eastAsia" w:ascii="Times New Roman" w:hAnsi="Times New Roman" w:cs="Times New Roman" w:eastAsiaTheme="minorEastAsia"/>
          <w:sz w:val="21"/>
          <w:szCs w:val="22"/>
          <w:lang w:eastAsia="zh-CN"/>
        </w:rPr>
      </w:pPr>
      <w:ins w:id="293" w:author="1＆0" w:date="2026-04-09T20:54:48Z">
        <w:r>
          <w:rPr>
            <w:rFonts w:hint="eastAsia" w:ascii="Times New Roman" w:hAnsi="Times New Roman" w:cs="Times New Roman" w:eastAsiaTheme="minorEastAsia"/>
            <w:i w:val="0"/>
            <w:iCs w:val="0"/>
            <w:caps w:val="0"/>
            <w:spacing w:val="0"/>
            <w:sz w:val="21"/>
            <w:szCs w:val="22"/>
            <w:shd w:val="clear"/>
          </w:rPr>
          <w:t>A rescue score of 1.0 indicates complete normalization, values between 0 and 1 indicate partial recovery, and values &gt; 1 indicate over-correction.</w:t>
        </w:r>
      </w:ins>
      <w:ins w:id="294" w:author="1＆0" w:date="2026-04-09T20:57:52Z">
        <w:r>
          <w:rPr>
            <w:rFonts w:hint="eastAsia" w:ascii="Times New Roman" w:hAnsi="Times New Roman" w:cs="Times New Roman"/>
            <w:i w:val="0"/>
            <w:iCs w:val="0"/>
            <w:caps w:val="0"/>
            <w:spacing w:val="0"/>
            <w:sz w:val="21"/>
            <w:szCs w:val="22"/>
            <w:shd w:val="clear"/>
            <w:lang w:val="en-US" w:eastAsia="zh-CN"/>
          </w:rPr>
          <w:t xml:space="preserve"> </w:t>
        </w:r>
      </w:ins>
      <w:del w:id="295" w:author="1＆0" w:date="2026-04-09T21:05:57Z">
        <w:r>
          <w:rPr>
            <w:rFonts w:hint="eastAsia" w:ascii="Times New Roman" w:hAnsi="Times New Roman" w:cs="Times New Roman"/>
            <w:sz w:val="21"/>
            <w:szCs w:val="22"/>
          </w:rPr>
          <w:delText xml:space="preserve"> </w:delText>
        </w:r>
      </w:del>
    </w:p>
    <w:p w14:paraId="6672A5BB">
      <w:pPr>
        <w:ind w:firstLine="420" w:firstLineChars="200"/>
        <w:jc w:val="both"/>
        <w:rPr>
          <w:del w:id="296" w:author="1＆0" w:date="2026-04-09T20:58:35Z"/>
          <w:rFonts w:ascii="Times New Roman" w:hAnsi="Times New Roman" w:cs="Times New Roman"/>
          <w:sz w:val="21"/>
          <w:szCs w:val="22"/>
        </w:rPr>
      </w:pPr>
      <w:del w:id="297" w:author="1＆0" w:date="2026-04-09T20:58:35Z">
        <w:r>
          <w:rPr>
            <w:rFonts w:hint="eastAsia" w:ascii="Times New Roman" w:hAnsi="Times New Roman" w:cs="Times New Roman"/>
            <w:sz w:val="21"/>
            <w:szCs w:val="22"/>
          </w:rPr>
          <w:delText>Co-expression clustering analysis was performed to identify gene modules with similar expression patterns across samples. Eigengenes were calculated for each cluster to represent module-level expression profiles.</w:delText>
        </w:r>
      </w:del>
    </w:p>
    <w:p w14:paraId="30586053">
      <w:pPr>
        <w:jc w:val="both"/>
        <w:rPr>
          <w:rFonts w:hint="eastAsia" w:ascii="Times New Roman" w:hAnsi="Times New Roman" w:cs="Times New Roman"/>
          <w:sz w:val="21"/>
          <w:szCs w:val="22"/>
        </w:rPr>
      </w:pPr>
      <w:r>
        <w:rPr>
          <w:rFonts w:hint="eastAsia" w:ascii="Times New Roman" w:hAnsi="Times New Roman" w:cs="Times New Roman"/>
          <w:sz w:val="21"/>
          <w:szCs w:val="22"/>
        </w:rPr>
        <w:t>Integration of microbiome and transcriptome data</w:t>
      </w:r>
    </w:p>
    <w:p w14:paraId="25434219">
      <w:pPr>
        <w:numPr>
          <w:ilvl w:val="-1"/>
          <w:numId w:val="0"/>
        </w:numPr>
        <w:spacing w:before="0" w:beforeAutospacing="0" w:after="160" w:afterAutospacing="0"/>
        <w:ind w:left="0" w:firstLine="0"/>
        <w:jc w:val="both"/>
        <w:rPr>
          <w:ins w:id="299" w:author="1＆0" w:date="2026-04-09T21:02:54Z"/>
          <w:rFonts w:hint="default" w:ascii="Times New Roman" w:hAnsi="Times New Roman" w:cs="Times New Roman"/>
          <w:sz w:val="21"/>
          <w:szCs w:val="22"/>
          <w:rPrChange w:id="300" w:author="1＆0" w:date="2026-04-09T21:02:56Z">
            <w:rPr>
              <w:ins w:id="301" w:author="1＆0" w:date="2026-04-09T21:02:54Z"/>
            </w:rPr>
          </w:rPrChange>
          <w14:ligatures w14:val="standardContextual"/>
        </w:rPr>
        <w:pPrChange w:id="298" w:author="1＆0" w:date="2026-04-28T11:06:11Z">
          <w:pPr>
            <w:numPr>
              <w:ilvl w:val="0"/>
              <w:numId w:val="2"/>
            </w:numPr>
            <w:spacing w:before="0" w:beforeAutospacing="1" w:after="0" w:afterAutospacing="1"/>
            <w:ind w:left="720" w:hanging="360"/>
          </w:pPr>
        </w:pPrChange>
      </w:pPr>
      <w:ins w:id="302" w:author="1＆0" w:date="2026-04-28T11:05:43Z">
        <w:r>
          <w:rPr>
            <w:rFonts w:hint="eastAsia" w:ascii="Times New Roman" w:hAnsi="Times New Roman" w:cs="Times New Roman" w:eastAsiaTheme="minorEastAsia"/>
            <w:i w:val="0"/>
            <w:iCs w:val="0"/>
            <w:caps w:val="0"/>
            <w:color w:val="auto"/>
            <w:spacing w:val="0"/>
            <w:sz w:val="21"/>
            <w:szCs w:val="22"/>
            <w:shd w:val="clear" w:fill="auto"/>
            <w:rPrChange w:id="303" w:author="1＆0" w:date="2026-04-28T11:05:50Z">
              <w:rPr>
                <w:rFonts w:ascii="Helvetica" w:hAnsi="Helvetica" w:eastAsia="Helvetica" w:cs="Helvetica"/>
                <w:i w:val="0"/>
                <w:iCs w:val="0"/>
                <w:caps w:val="0"/>
                <w:color w:val="333333"/>
                <w:spacing w:val="0"/>
                <w:sz w:val="12"/>
                <w:szCs w:val="12"/>
                <w:shd w:val="clear" w:fill="FFFFFF"/>
              </w:rPr>
            </w:rPrChange>
            <w14:ligatures w14:val="standardContextual"/>
          </w:rPr>
          <w:t>F</w:t>
        </w:r>
      </w:ins>
      <w:ins w:id="304" w:author="1＆0" w:date="2026-04-28T11:05:43Z">
        <w:r>
          <w:rPr>
            <w:rFonts w:hint="eastAsia" w:ascii="Times New Roman" w:hAnsi="Times New Roman" w:cs="Times New Roman" w:eastAsiaTheme="minorEastAsia"/>
            <w:i w:val="0"/>
            <w:iCs w:val="0"/>
            <w:caps w:val="0"/>
            <w:color w:val="auto"/>
            <w:spacing w:val="0"/>
            <w:sz w:val="21"/>
            <w:szCs w:val="22"/>
            <w:shd w:val="clear" w:fill="auto"/>
            <w:rPrChange w:id="305" w:author="1＆0" w:date="2026-04-28T11:05:50Z">
              <w:rPr>
                <w:rFonts w:ascii="Helvetica" w:hAnsi="Helvetica" w:eastAsia="Helvetica" w:cs="Helvetica"/>
                <w:i w:val="0"/>
                <w:iCs w:val="0"/>
                <w:caps w:val="0"/>
                <w:color w:val="333333"/>
                <w:spacing w:val="0"/>
                <w:sz w:val="12"/>
                <w:szCs w:val="12"/>
                <w:shd w:val="clear" w:fill="FFFFFF"/>
              </w:rPr>
            </w:rPrChange>
            <w14:ligatures w14:val="standardContextual"/>
          </w:rPr>
          <w:t>or each rescue gene cluster, a module eigengene was calculated as the first principal component (PC1) scores derived from PCA of the VST expression matrix of member genes, representing the overall transcriptional activity of that module across samples.</w:t>
        </w:r>
      </w:ins>
      <w:ins w:id="306" w:author="1＆0" w:date="2026-04-09T21:02:54Z">
        <w:r>
          <w:rPr>
            <w:rFonts w:hint="eastAsia" w:ascii="Times New Roman" w:hAnsi="Times New Roman" w:cs="Times New Roman"/>
            <w:sz w:val="21"/>
            <w:szCs w:val="22"/>
            <w:rPrChange w:id="307" w:author="1＆0" w:date="2026-04-09T21:02:56Z">
              <w:rPr/>
            </w:rPrChange>
            <w14:ligatures w14:val="standardContextual"/>
          </w:rPr>
          <w:t xml:space="preserve"> Spearman rank correlations were computed between host module eigengenes and genus CLR values across matched samples with FDR &lt; 0.05 as the primary significance threshold.</w:t>
        </w:r>
      </w:ins>
      <w:ins w:id="308" w:author="1＆0" w:date="2026-04-28T11:08:16Z">
        <w:r>
          <w:rPr>
            <w:rFonts w:hint="eastAsia" w:ascii="Times New Roman" w:hAnsi="Times New Roman" w:cs="Times New Roman"/>
            <w:sz w:val="21"/>
            <w:szCs w:val="22"/>
            <w:lang w:val="en-US" w:eastAsia="zh-CN"/>
            <w14:ligatures w14:val="standardContextual"/>
          </w:rPr>
          <w:t xml:space="preserve">  </w:t>
        </w:r>
      </w:ins>
      <w:ins w:id="309" w:author="1＆0" w:date="2026-04-28T11:08:17Z">
        <w:r>
          <w:rPr>
            <w:rFonts w:hint="eastAsia" w:ascii="Times New Roman" w:hAnsi="Times New Roman" w:eastAsia="宋体" w:cs="Times New Roman"/>
            <w:i w:val="0"/>
            <w:iCs w:val="0"/>
            <w:caps w:val="0"/>
            <w:color w:val="auto"/>
            <w:spacing w:val="0"/>
            <w:sz w:val="21"/>
            <w:szCs w:val="22"/>
            <w:shd w:val="clear" w:fill="auto"/>
            <w:rPrChange w:id="310" w:author="1＆0" w:date="2026-04-28T11:08:18Z">
              <w:rPr>
                <w:rFonts w:ascii="Helvetica" w:hAnsi="Helvetica" w:eastAsia="Helvetica" w:cs="Helvetica"/>
                <w:i w:val="0"/>
                <w:iCs w:val="0"/>
                <w:caps w:val="0"/>
                <w:color w:val="333333"/>
                <w:spacing w:val="0"/>
                <w:sz w:val="12"/>
                <w:szCs w:val="12"/>
                <w:shd w:val="clear" w:fill="FFFFFF"/>
              </w:rPr>
            </w:rPrChange>
            <w14:ligatures w14:val="standardContextual"/>
          </w:rPr>
          <w:t>Spearman rank correlations were computed between individual rescue gene VST expression values and rescue genus CLR values across matched samples</w:t>
        </w:r>
      </w:ins>
      <w:ins w:id="311" w:author="1＆0" w:date="2026-04-28T11:09:22Z">
        <w:r>
          <w:rPr>
            <w:rFonts w:hint="eastAsia" w:ascii="Times New Roman" w:hAnsi="Times New Roman" w:cs="Times New Roman"/>
            <w:i w:val="0"/>
            <w:iCs w:val="0"/>
            <w:caps w:val="0"/>
            <w:spacing w:val="0"/>
            <w:sz w:val="21"/>
            <w:szCs w:val="22"/>
            <w:shd w:val="clear"/>
            <w:lang w:val="en-US" w:eastAsia="zh-CN"/>
            <w14:ligatures w14:val="standardContextual"/>
          </w:rPr>
          <w:t xml:space="preserve"> </w:t>
        </w:r>
      </w:ins>
      <w:ins w:id="312" w:author="1＆0" w:date="2026-04-28T11:09:23Z">
        <w:r>
          <w:rPr>
            <w:rFonts w:hint="eastAsia" w:ascii="Times New Roman" w:hAnsi="Times New Roman" w:cs="Times New Roman"/>
            <w:i w:val="0"/>
            <w:iCs w:val="0"/>
            <w:caps w:val="0"/>
            <w:spacing w:val="0"/>
            <w:sz w:val="21"/>
            <w:szCs w:val="22"/>
            <w:shd w:val="clear"/>
            <w:lang w:val="en-US" w:eastAsia="zh-CN"/>
            <w14:ligatures w14:val="standardContextual"/>
          </w:rPr>
          <w:t>to i</w:t>
        </w:r>
      </w:ins>
      <w:ins w:id="313" w:author="1＆0" w:date="2026-04-28T11:09:24Z">
        <w:r>
          <w:rPr>
            <w:rFonts w:hint="eastAsia" w:ascii="Times New Roman" w:hAnsi="Times New Roman" w:cs="Times New Roman"/>
            <w:i w:val="0"/>
            <w:iCs w:val="0"/>
            <w:caps w:val="0"/>
            <w:spacing w:val="0"/>
            <w:sz w:val="21"/>
            <w:szCs w:val="22"/>
            <w:shd w:val="clear"/>
            <w:lang w:val="en-US" w:eastAsia="zh-CN"/>
            <w14:ligatures w14:val="standardContextual"/>
          </w:rPr>
          <w:t>den</w:t>
        </w:r>
      </w:ins>
      <w:ins w:id="314" w:author="1＆0" w:date="2026-04-28T11:09:25Z">
        <w:r>
          <w:rPr>
            <w:rFonts w:hint="eastAsia" w:ascii="Times New Roman" w:hAnsi="Times New Roman" w:cs="Times New Roman"/>
            <w:i w:val="0"/>
            <w:iCs w:val="0"/>
            <w:caps w:val="0"/>
            <w:spacing w:val="0"/>
            <w:sz w:val="21"/>
            <w:szCs w:val="22"/>
            <w:shd w:val="clear"/>
            <w:lang w:val="en-US" w:eastAsia="zh-CN"/>
            <w14:ligatures w14:val="standardContextual"/>
          </w:rPr>
          <w:t>tify</w:t>
        </w:r>
      </w:ins>
      <w:ins w:id="315" w:author="1＆0" w:date="2026-04-28T11:08:58Z">
        <w:r>
          <w:rPr>
            <w:rFonts w:hint="eastAsia" w:ascii="Times New Roman" w:hAnsi="Times New Roman" w:cs="Times New Roman"/>
            <w:i w:val="0"/>
            <w:iCs w:val="0"/>
            <w:caps w:val="0"/>
            <w:spacing w:val="0"/>
            <w:sz w:val="21"/>
            <w:szCs w:val="22"/>
            <w:shd w:val="clear"/>
            <w:lang w:val="en-US" w:eastAsia="zh-CN"/>
            <w14:ligatures w14:val="standardContextual"/>
          </w:rPr>
          <w:t xml:space="preserve"> </w:t>
        </w:r>
      </w:ins>
      <w:ins w:id="316" w:author="1＆0" w:date="2026-04-28T11:08:17Z">
        <w:r>
          <w:rPr>
            <w:rFonts w:hint="eastAsia" w:ascii="Times New Roman" w:hAnsi="Times New Roman" w:eastAsia="宋体" w:cs="Times New Roman"/>
            <w:i w:val="0"/>
            <w:iCs w:val="0"/>
            <w:caps w:val="0"/>
            <w:color w:val="auto"/>
            <w:spacing w:val="0"/>
            <w:sz w:val="21"/>
            <w:szCs w:val="22"/>
            <w:shd w:val="clear" w:fill="auto"/>
            <w:rPrChange w:id="317" w:author="1＆0" w:date="2026-04-28T11:08:18Z">
              <w:rPr>
                <w:rFonts w:ascii="Helvetica" w:hAnsi="Helvetica" w:eastAsia="Helvetica" w:cs="Helvetica"/>
                <w:i w:val="0"/>
                <w:iCs w:val="0"/>
                <w:caps w:val="0"/>
                <w:color w:val="333333"/>
                <w:spacing w:val="0"/>
                <w:sz w:val="12"/>
                <w:szCs w:val="12"/>
                <w:shd w:val="clear" w:fill="FFFFFF"/>
              </w:rPr>
            </w:rPrChange>
            <w14:ligatures w14:val="standardContextual"/>
          </w:rPr>
          <w:t xml:space="preserve">gene–genus pairs with </w:t>
        </w:r>
      </w:ins>
      <w:ins w:id="318" w:author="1＆0" w:date="2026-04-28T11:08:17Z">
        <w:r>
          <w:rPr>
            <w:rFonts w:hint="eastAsia" w:ascii="Times New Roman" w:hAnsi="Times New Roman" w:eastAsia="宋体" w:cs="Times New Roman"/>
            <w:i/>
            <w:iCs/>
            <w:caps w:val="0"/>
            <w:color w:val="auto"/>
            <w:spacing w:val="0"/>
            <w:sz w:val="21"/>
            <w:szCs w:val="22"/>
            <w:shd w:val="clear" w:fill="auto"/>
            <w:rPrChange w:id="319" w:author="1＆0" w:date="2026-04-28T11:10:04Z">
              <w:rPr>
                <w:rFonts w:ascii="Helvetica" w:hAnsi="Helvetica" w:eastAsia="Helvetica" w:cs="Helvetica"/>
                <w:i w:val="0"/>
                <w:iCs w:val="0"/>
                <w:caps w:val="0"/>
                <w:color w:val="333333"/>
                <w:spacing w:val="0"/>
                <w:sz w:val="12"/>
                <w:szCs w:val="12"/>
                <w:shd w:val="clear" w:fill="FFFFFF"/>
              </w:rPr>
            </w:rPrChange>
            <w14:ligatures w14:val="standardContextual"/>
          </w:rPr>
          <w:t>P</w:t>
        </w:r>
      </w:ins>
      <w:ins w:id="320" w:author="1＆0" w:date="2026-04-28T11:08:17Z">
        <w:r>
          <w:rPr>
            <w:rFonts w:hint="eastAsia" w:ascii="Times New Roman" w:hAnsi="Times New Roman" w:eastAsia="宋体" w:cs="Times New Roman"/>
            <w:i w:val="0"/>
            <w:iCs w:val="0"/>
            <w:caps w:val="0"/>
            <w:color w:val="auto"/>
            <w:spacing w:val="0"/>
            <w:sz w:val="21"/>
            <w:szCs w:val="22"/>
            <w:shd w:val="clear" w:fill="auto"/>
            <w:rPrChange w:id="321" w:author="1＆0" w:date="2026-04-28T11:08:18Z">
              <w:rPr>
                <w:rFonts w:ascii="Helvetica" w:hAnsi="Helvetica" w:eastAsia="Helvetica" w:cs="Helvetica"/>
                <w:i w:val="0"/>
                <w:iCs w:val="0"/>
                <w:caps w:val="0"/>
                <w:color w:val="333333"/>
                <w:spacing w:val="0"/>
                <w:sz w:val="12"/>
                <w:szCs w:val="12"/>
                <w:shd w:val="clear" w:fill="FFFFFF"/>
              </w:rPr>
            </w:rPrChange>
            <w14:ligatures w14:val="standardContextual"/>
          </w:rPr>
          <w:t xml:space="preserve"> &lt; 0.05</w:t>
        </w:r>
      </w:ins>
      <w:ins w:id="322" w:author="1＆0" w:date="2026-04-28T11:10:30Z">
        <w:r>
          <w:rPr>
            <w:rFonts w:hint="eastAsia" w:ascii="Times New Roman" w:hAnsi="Times New Roman" w:cs="Times New Roman"/>
            <w:i w:val="0"/>
            <w:iCs w:val="0"/>
            <w:caps w:val="0"/>
            <w:spacing w:val="0"/>
            <w:sz w:val="21"/>
            <w:szCs w:val="22"/>
            <w:shd w:val="clear"/>
            <w:lang w:val="en-US" w:eastAsia="zh-CN"/>
            <w14:ligatures w14:val="standardContextual"/>
          </w:rPr>
          <w:t>.</w:t>
        </w:r>
      </w:ins>
    </w:p>
    <w:p w14:paraId="330CF9B8">
      <w:pPr>
        <w:numPr>
          <w:ilvl w:val="-1"/>
          <w:numId w:val="0"/>
        </w:numPr>
        <w:spacing w:before="0" w:beforeAutospacing="0" w:after="160" w:afterAutospacing="0"/>
        <w:ind w:left="0" w:firstLine="0"/>
        <w:jc w:val="both"/>
        <w:rPr>
          <w:ins w:id="324" w:author="1＆0" w:date="2026-04-09T21:02:54Z"/>
          <w:rFonts w:hint="eastAsia" w:ascii="Times New Roman" w:hAnsi="Times New Roman" w:cs="Times New Roman"/>
          <w:sz w:val="21"/>
          <w:szCs w:val="22"/>
          <w:rPrChange w:id="325" w:author="1＆0" w:date="2026-04-09T21:02:56Z">
            <w:rPr>
              <w:ins w:id="326" w:author="1＆0" w:date="2026-04-09T21:02:54Z"/>
            </w:rPr>
          </w:rPrChange>
          <w14:ligatures w14:val="standardContextual"/>
        </w:rPr>
        <w:pPrChange w:id="323" w:author="1＆0" w:date="2026-04-09T21:03:07Z">
          <w:pPr>
            <w:numPr>
              <w:ilvl w:val="0"/>
              <w:numId w:val="3"/>
            </w:numPr>
            <w:spacing w:before="0" w:beforeAutospacing="1" w:after="0" w:afterAutospacing="1"/>
            <w:ind w:left="720" w:hanging="360"/>
          </w:pPr>
        </w:pPrChange>
      </w:pPr>
      <w:ins w:id="327" w:author="1＆0" w:date="2026-04-09T21:02:54Z">
        <w:r>
          <w:rPr>
            <w:rFonts w:hint="eastAsia" w:ascii="Times New Roman" w:hAnsi="Times New Roman" w:cs="Times New Roman"/>
            <w:sz w:val="21"/>
            <w:szCs w:val="22"/>
            <w:rPrChange w:id="328" w:author="1＆0" w:date="2026-04-09T21:02:56Z">
              <w:rPr/>
            </w:rPrChange>
            <w14:ligatures w14:val="standardContextual"/>
          </w:rPr>
          <w:t>A</w:t>
        </w:r>
      </w:ins>
      <w:ins w:id="329" w:author="1＆0" w:date="2026-04-09T21:02:54Z">
        <w:r>
          <w:rPr>
            <w:rFonts w:hint="eastAsia" w:ascii="Times New Roman" w:hAnsi="Times New Roman" w:cs="Times New Roman"/>
            <w:sz w:val="21"/>
            <w:szCs w:val="22"/>
            <w:rPrChange w:id="330" w:author="1＆0" w:date="2026-04-09T21:02:56Z">
              <w:rPr/>
            </w:rPrChange>
            <w14:ligatures w14:val="standardContextual"/>
          </w:rPr>
          <w:t xml:space="preserve"> bipartite host–microbiome interaction network was constructed using significant gene–genus pairs as edges.</w:t>
        </w:r>
      </w:ins>
      <w:ins w:id="331" w:author="1＆0" w:date="2026-04-28T11:13:08Z">
        <w:r>
          <w:rPr>
            <w:rFonts w:hint="eastAsia" w:ascii="Times New Roman" w:hAnsi="Times New Roman" w:cs="Times New Roman"/>
            <w:sz w:val="21"/>
            <w:szCs w:val="22"/>
            <w:lang w:val="en-US" w:eastAsia="zh-CN"/>
            <w14:ligatures w14:val="standardContextual"/>
          </w:rPr>
          <w:t xml:space="preserve"> </w:t>
        </w:r>
      </w:ins>
      <w:ins w:id="332" w:author="1＆0" w:date="2026-04-28T11:12:50Z">
        <w:r>
          <w:rPr>
            <w:rFonts w:hint="eastAsia" w:ascii="Times New Roman" w:hAnsi="Times New Roman" w:cs="Times New Roman" w:eastAsiaTheme="minorEastAsia"/>
            <w:i w:val="0"/>
            <w:iCs w:val="0"/>
            <w:caps w:val="0"/>
            <w:color w:val="auto"/>
            <w:spacing w:val="0"/>
            <w:sz w:val="21"/>
            <w:szCs w:val="22"/>
            <w:shd w:val="clear" w:fill="auto"/>
            <w:rPrChange w:id="333" w:author="1＆0" w:date="2026-04-28T11:12:53Z">
              <w:rPr>
                <w:rFonts w:ascii="Helvetica" w:hAnsi="Helvetica" w:eastAsia="Helvetica" w:cs="Helvetica"/>
                <w:i w:val="0"/>
                <w:iCs w:val="0"/>
                <w:caps w:val="0"/>
                <w:color w:val="333333"/>
                <w:spacing w:val="0"/>
                <w:sz w:val="12"/>
                <w:szCs w:val="12"/>
                <w:shd w:val="clear" w:fill="FFFFFF"/>
              </w:rPr>
            </w:rPrChange>
          </w:rPr>
          <w:t xml:space="preserve">Network analysis was performed using the igraph package, and </w:t>
        </w:r>
      </w:ins>
      <w:ins w:id="334" w:author="1＆0" w:date="2026-04-28T11:13:31Z">
        <w:r>
          <w:rPr>
            <w:rFonts w:hint="eastAsia" w:ascii="Times New Roman" w:hAnsi="Times New Roman" w:cs="Times New Roman"/>
            <w:i w:val="0"/>
            <w:iCs w:val="0"/>
            <w:caps w:val="0"/>
            <w:spacing w:val="0"/>
            <w:sz w:val="21"/>
            <w:szCs w:val="22"/>
            <w:shd w:val="clear"/>
            <w:lang w:val="en-US" w:eastAsia="zh-CN"/>
          </w:rPr>
          <w:t>n</w:t>
        </w:r>
      </w:ins>
      <w:ins w:id="335" w:author="1＆0" w:date="2026-04-09T21:02:54Z">
        <w:r>
          <w:rPr>
            <w:rFonts w:hint="eastAsia" w:ascii="Times New Roman" w:hAnsi="Times New Roman" w:cs="Times New Roman"/>
            <w:sz w:val="21"/>
            <w:szCs w:val="22"/>
            <w:rPrChange w:id="336" w:author="1＆0" w:date="2026-04-09T21:02:56Z">
              <w:rPr/>
            </w:rPrChange>
            <w14:ligatures w14:val="standardContextual"/>
          </w:rPr>
          <w:t xml:space="preserve">etwork topology was visualized using force - directedand bipartite layouts, with node size scaled by degree and edge attributes reflecting correlation strength and direction. </w:t>
        </w:r>
      </w:ins>
      <w:ins w:id="337" w:author="1＆0" w:date="2026-04-28T11:11:25Z">
        <w:r>
          <w:rPr>
            <w:rFonts w:hint="eastAsia" w:ascii="Times New Roman" w:hAnsi="Times New Roman" w:cs="Times New Roman"/>
            <w:sz w:val="21"/>
            <w:szCs w:val="22"/>
            <w14:ligatures w14:val="standardContextual"/>
          </w:rPr>
          <w:t>Spearman rank correlation was computed between host module eigengenes and the MedianCLV dysbiosis index across individual oral samples to test whether host transcriptional module activity was associated with the degree of microbial community dysbiosis at the individual sample level. This analysis was intended to link the host–microbiome co-regulatory network to treatment-associated restoration of oral microbial homeostasis.</w:t>
        </w:r>
      </w:ins>
    </w:p>
    <w:p w14:paraId="59937624">
      <w:pPr>
        <w:jc w:val="both"/>
        <w:rPr>
          <w:del w:id="338" w:author="1＆0" w:date="2026-04-09T21:02:38Z"/>
          <w:rFonts w:ascii="Times New Roman" w:hAnsi="Times New Roman" w:cs="Times New Roman"/>
          <w:sz w:val="21"/>
          <w:szCs w:val="22"/>
        </w:rPr>
      </w:pPr>
      <w:del w:id="339" w:author="1＆0" w:date="2026-04-09T21:02:38Z">
        <w:r>
          <w:rPr>
            <w:rFonts w:hint="eastAsia" w:ascii="Times New Roman" w:hAnsi="Times New Roman" w:cs="Times New Roman"/>
            <w:sz w:val="21"/>
            <w:szCs w:val="22"/>
          </w:rPr>
          <w:delText>To explore the relationship between microbial composition and host transcriptional profiles, integrative analyses were conducted. Correlation analysis between bacterial genera and gene expression was performed using Spearman’s rank correlation. A gene–microbiota association network was constructed based on significant correlations. Network visualization was used to assess interaction patterns across groups.</w:delText>
        </w:r>
      </w:del>
    </w:p>
    <w:p w14:paraId="7ECA8DAD">
      <w:pPr>
        <w:jc w:val="both"/>
        <w:rPr>
          <w:del w:id="340" w:author="1＆0" w:date="2026-04-09T21:02:38Z"/>
          <w:rFonts w:hint="eastAsia" w:ascii="Times New Roman" w:hAnsi="Times New Roman" w:cs="Times New Roman"/>
          <w:sz w:val="21"/>
          <w:szCs w:val="22"/>
        </w:rPr>
      </w:pPr>
      <w:del w:id="341" w:author="1＆0" w:date="2026-04-09T21:02:38Z">
        <w:r>
          <w:rPr>
            <w:rFonts w:hint="eastAsia" w:ascii="Times New Roman" w:hAnsi="Times New Roman" w:cs="Times New Roman"/>
            <w:sz w:val="21"/>
            <w:szCs w:val="22"/>
          </w:rPr>
          <w:delText>Correlation with dysbiosis index</w:delText>
        </w:r>
      </w:del>
    </w:p>
    <w:p w14:paraId="57689F1B">
      <w:pPr>
        <w:jc w:val="both"/>
        <w:rPr>
          <w:del w:id="342" w:author="1＆0" w:date="2026-04-09T21:02:38Z"/>
          <w:rFonts w:ascii="Times New Roman" w:hAnsi="Times New Roman" w:cs="Times New Roman"/>
          <w:sz w:val="21"/>
          <w:szCs w:val="22"/>
        </w:rPr>
      </w:pPr>
      <w:del w:id="343" w:author="1＆0" w:date="2026-04-09T21:02:38Z">
        <w:r>
          <w:rPr>
            <w:rFonts w:hint="eastAsia" w:ascii="Times New Roman" w:hAnsi="Times New Roman" w:cs="Times New Roman"/>
            <w:sz w:val="21"/>
            <w:szCs w:val="22"/>
          </w:rPr>
          <w:delText>The association between microbial dysbiosis and host transcriptional variation was assessed by correlating the dysbiosis index with cluster-specific eigengenes. Spearman correlation coefficients were calculated, and statistical significance was determined accordingly.</w:delText>
        </w:r>
      </w:del>
    </w:p>
    <w:p w14:paraId="3F75DBA0">
      <w:pPr>
        <w:jc w:val="both"/>
        <w:rPr>
          <w:rFonts w:hint="eastAsia" w:ascii="Times New Roman" w:hAnsi="Times New Roman" w:cs="Times New Roman"/>
          <w:sz w:val="21"/>
          <w:szCs w:val="22"/>
        </w:rPr>
      </w:pPr>
      <w:r>
        <w:rPr>
          <w:rFonts w:hint="eastAsia" w:ascii="Times New Roman" w:hAnsi="Times New Roman" w:cs="Times New Roman"/>
          <w:sz w:val="21"/>
          <w:szCs w:val="22"/>
        </w:rPr>
        <w:t>Statistical analysis</w:t>
      </w:r>
    </w:p>
    <w:p w14:paraId="1836EE06">
      <w:pPr>
        <w:jc w:val="both"/>
        <w:rPr>
          <w:rFonts w:hint="eastAsia" w:ascii="Times New Roman" w:hAnsi="Times New Roman" w:cs="Times New Roman"/>
          <w:sz w:val="21"/>
          <w:szCs w:val="22"/>
          <w:lang w:val="en-US" w:eastAsia="zh-CN"/>
        </w:rPr>
      </w:pPr>
      <w:del w:id="344" w:author="1＆0" w:date="2026-04-28T11:55:55Z">
        <w:bookmarkStart w:id="0" w:name="_GoBack"/>
        <w:bookmarkEnd w:id="0"/>
        <w:r>
          <w:rPr>
            <w:rFonts w:hint="eastAsia" w:ascii="Times New Roman" w:hAnsi="Times New Roman" w:cs="Times New Roman"/>
            <w:sz w:val="21"/>
            <w:szCs w:val="22"/>
          </w:rPr>
          <w:delText xml:space="preserve">Data are presented as mean ± SEM. Comparisons between two groups were performed using an unpaired two-tailed Student’s t-test. For comparisons among multiple groups, one-way analysis of variance (ANOVA) followed by post hoc multiple comparison tests was applied. When data did not meet the assumptions of normality, non-parametric tests (Mann–Whitney U test for two groups or Kruskal–Wallis test for multiple groups) were used as appropriate. Correlation analyses were performed using Spearman’s rank correlation. </w:delText>
        </w:r>
      </w:del>
      <w:del w:id="345" w:author="1＆0" w:date="2026-04-28T11:55:55Z">
        <w:r>
          <w:rPr>
            <w:rFonts w:hint="eastAsia" w:ascii="Times New Roman" w:hAnsi="Times New Roman" w:cs="Times New Roman"/>
            <w:i/>
            <w:iCs/>
            <w:sz w:val="21"/>
            <w:szCs w:val="22"/>
          </w:rPr>
          <w:delText>P</w:delText>
        </w:r>
      </w:del>
      <w:del w:id="346" w:author="1＆0" w:date="2026-04-28T11:55:55Z">
        <w:r>
          <w:rPr>
            <w:rFonts w:hint="eastAsia" w:ascii="Times New Roman" w:hAnsi="Times New Roman" w:cs="Times New Roman"/>
            <w:sz w:val="21"/>
            <w:szCs w:val="22"/>
          </w:rPr>
          <w:delText xml:space="preserve"> &lt; 0.05 was considered statistically significant.</w:delText>
        </w:r>
      </w:del>
      <w:ins w:id="347" w:author="1＆0" w:date="2026-04-28T11:19:46Z">
        <w:r>
          <w:rPr>
            <w:rFonts w:hint="eastAsia" w:ascii="Times New Roman" w:hAnsi="Times New Roman" w:cs="Times New Roman"/>
            <w:sz w:val="21"/>
            <w:szCs w:val="22"/>
            <w:lang w:val="en-US" w:eastAsia="zh-CN"/>
          </w:rPr>
          <w:t xml:space="preserve">All analyses were conducted in R version 4.1.2. For comparisons between two groups, Student’s t-test or Wilcoxon rank-sum test was used as appropriate according to data distribution. For comparisons among three groups, one-way ANOVA followed by Tukey’s post hoc test. Correlation analyses were performed using Spearman’s rank correlation. Differential expression analysis was performed using DESeq2 with Benjamini–Hochberg FDR correction. Functional enrichment analysis was conducted using clusterProfiler package. Microbial community diversity metrics were calculated using the vegan package, and dysbiosis indices were computed using dysbiosisR. Network analysis and visualization were performed using igraph and ggraph. Statistical graphics were generated using ggplot2. Unless otherwise specified, </w:t>
        </w:r>
      </w:ins>
      <w:ins w:id="348" w:author="1＆0" w:date="2026-04-28T11:19:46Z">
        <w:r>
          <w:rPr>
            <w:rFonts w:hint="eastAsia" w:ascii="Times New Roman" w:hAnsi="Times New Roman" w:cs="Times New Roman"/>
            <w:i/>
            <w:iCs/>
            <w:sz w:val="21"/>
            <w:szCs w:val="22"/>
            <w:lang w:val="en-US" w:eastAsia="zh-CN"/>
            <w:rPrChange w:id="349" w:author="1＆0" w:date="2026-04-28T11:23:09Z">
              <w:rPr>
                <w:rFonts w:hint="eastAsia" w:ascii="Times New Roman" w:hAnsi="Times New Roman" w:cs="Times New Roman"/>
                <w:sz w:val="21"/>
                <w:szCs w:val="22"/>
                <w:lang w:val="en-US" w:eastAsia="zh-CN"/>
              </w:rPr>
            </w:rPrChange>
          </w:rPr>
          <w:t>P</w:t>
        </w:r>
      </w:ins>
      <w:ins w:id="350" w:author="1＆0" w:date="2026-04-28T11:19:46Z">
        <w:r>
          <w:rPr>
            <w:rFonts w:hint="eastAsia" w:ascii="Times New Roman" w:hAnsi="Times New Roman" w:cs="Times New Roman"/>
            <w:sz w:val="21"/>
            <w:szCs w:val="22"/>
            <w:lang w:val="en-US" w:eastAsia="zh-CN"/>
          </w:rPr>
          <w:t xml:space="preserve"> &lt; 0.05 was considered statistically significant.</w:t>
        </w:r>
      </w:ins>
    </w:p>
    <w:p w14:paraId="0DAE3287">
      <w:pPr>
        <w:jc w:val="both"/>
        <w:rPr>
          <w:rFonts w:hint="eastAsia" w:ascii="Times New Roman" w:hAnsi="Times New Roman" w:cs="Times New Roman"/>
          <w:b/>
          <w:bCs/>
          <w:sz w:val="21"/>
          <w:szCs w:val="22"/>
        </w:rPr>
      </w:pPr>
      <w:r>
        <w:rPr>
          <w:rFonts w:hint="eastAsia" w:ascii="Times New Roman" w:hAnsi="Times New Roman" w:cs="Times New Roman"/>
          <w:b/>
          <w:bCs/>
          <w:sz w:val="21"/>
          <w:szCs w:val="22"/>
        </w:rPr>
        <w:t>Acknowledgements</w:t>
      </w:r>
    </w:p>
    <w:p w14:paraId="2C856299">
      <w:pPr>
        <w:jc w:val="both"/>
        <w:rPr>
          <w:rFonts w:ascii="Times New Roman" w:hAnsi="Times New Roman" w:cs="Times New Roman"/>
          <w:sz w:val="21"/>
          <w:szCs w:val="22"/>
        </w:rPr>
      </w:pPr>
      <w:r>
        <w:rPr>
          <w:rFonts w:hint="eastAsia" w:ascii="Times New Roman" w:hAnsi="Times New Roman" w:cs="Times New Roman"/>
          <w:sz w:val="21"/>
          <w:szCs w:val="22"/>
        </w:rPr>
        <w:t>This study was supported by grants from the National Natural Science Foundation of China (U25A6003), and Research and Development Program, West China Hospital of Stomatology Sichuan University (RD-03-202505).</w:t>
      </w:r>
    </w:p>
    <w:p w14:paraId="01FA8265">
      <w:pPr>
        <w:jc w:val="both"/>
        <w:rPr>
          <w:rFonts w:hint="eastAsia" w:ascii="Times New Roman" w:hAnsi="Times New Roman" w:cs="Times New Roman"/>
          <w:b/>
          <w:bCs/>
          <w:sz w:val="21"/>
          <w:szCs w:val="22"/>
        </w:rPr>
      </w:pPr>
      <w:r>
        <w:rPr>
          <w:rFonts w:hint="eastAsia" w:ascii="Times New Roman" w:hAnsi="Times New Roman" w:cs="Times New Roman"/>
          <w:b/>
          <w:bCs/>
          <w:sz w:val="21"/>
          <w:szCs w:val="22"/>
        </w:rPr>
        <w:t>Data available statement</w:t>
      </w:r>
    </w:p>
    <w:p w14:paraId="13E8CFF0">
      <w:pPr>
        <w:jc w:val="both"/>
        <w:rPr>
          <w:rFonts w:hint="eastAsia" w:ascii="Times New Roman" w:hAnsi="Times New Roman" w:cs="Times New Roman"/>
          <w:sz w:val="21"/>
          <w:szCs w:val="22"/>
        </w:rPr>
      </w:pPr>
      <w:r>
        <w:rPr>
          <w:rFonts w:hint="eastAsia" w:ascii="Times New Roman" w:hAnsi="Times New Roman" w:cs="Times New Roman"/>
          <w:sz w:val="21"/>
          <w:szCs w:val="22"/>
        </w:rPr>
        <w:t>The datasets generated during and/or analysed during the current study are available from the corresponding author on reasonable request.</w:t>
      </w:r>
    </w:p>
    <w:p w14:paraId="657DD5CA">
      <w:pPr>
        <w:jc w:val="both"/>
        <w:rPr>
          <w:rFonts w:hint="eastAsia" w:ascii="Times New Roman" w:hAnsi="Times New Roman" w:cs="Times New Roman"/>
          <w:b/>
          <w:bCs/>
          <w:sz w:val="21"/>
          <w:szCs w:val="22"/>
        </w:rPr>
      </w:pPr>
      <w:r>
        <w:rPr>
          <w:rFonts w:hint="eastAsia" w:ascii="Times New Roman" w:hAnsi="Times New Roman" w:cs="Times New Roman"/>
          <w:b/>
          <w:bCs/>
          <w:sz w:val="21"/>
          <w:szCs w:val="22"/>
        </w:rPr>
        <w:t>Author contribution</w:t>
      </w:r>
    </w:p>
    <w:p w14:paraId="645E722F">
      <w:pPr>
        <w:jc w:val="both"/>
        <w:rPr>
          <w:rFonts w:hint="eastAsia" w:ascii="Times New Roman" w:hAnsi="Times New Roman" w:cs="Times New Roman"/>
          <w:sz w:val="21"/>
          <w:szCs w:val="22"/>
        </w:rPr>
      </w:pPr>
      <w:r>
        <w:rPr>
          <w:rFonts w:hint="eastAsia" w:ascii="Times New Roman" w:hAnsi="Times New Roman" w:cs="Times New Roman"/>
          <w:sz w:val="21"/>
          <w:szCs w:val="22"/>
        </w:rPr>
        <w:t>Y.W and L.Y contributed equally to this work. Y.W performed the experiments and wrote the manuscript. L.Y performed data analysis. Q. C and J. L conceived and supervised the study, and critically revised the manuscript. All authors read and approved the final manuscript.</w:t>
      </w:r>
    </w:p>
    <w:p w14:paraId="164F6445">
      <w:pPr>
        <w:jc w:val="both"/>
        <w:rPr>
          <w:rFonts w:hint="eastAsia" w:ascii="Times New Roman" w:hAnsi="Times New Roman" w:cs="Times New Roman"/>
          <w:b/>
          <w:bCs/>
          <w:sz w:val="21"/>
          <w:szCs w:val="22"/>
        </w:rPr>
      </w:pPr>
      <w:r>
        <w:rPr>
          <w:rFonts w:hint="eastAsia" w:ascii="Times New Roman" w:hAnsi="Times New Roman" w:cs="Times New Roman"/>
          <w:b/>
          <w:bCs/>
          <w:sz w:val="21"/>
          <w:szCs w:val="22"/>
        </w:rPr>
        <w:t>Ethics approval and consent</w:t>
      </w:r>
    </w:p>
    <w:p w14:paraId="68A3B702">
      <w:pPr>
        <w:jc w:val="both"/>
        <w:rPr>
          <w:rFonts w:ascii="Times New Roman" w:hAnsi="Times New Roman" w:cs="Times New Roman"/>
          <w:sz w:val="21"/>
          <w:szCs w:val="22"/>
        </w:rPr>
      </w:pPr>
      <w:r>
        <w:rPr>
          <w:rFonts w:hint="eastAsia" w:ascii="Times New Roman" w:hAnsi="Times New Roman" w:cs="Times New Roman"/>
          <w:sz w:val="21"/>
          <w:szCs w:val="22"/>
        </w:rPr>
        <w:t xml:space="preserve">All animal experiments were carried out in accordance with procedures approved by the Subcommittee on Research and Animal Care (SRAC) of Sichuan University (WCHSIRB-D-2024-454). </w:t>
      </w:r>
    </w:p>
    <w:p w14:paraId="6A33E01B">
      <w:pPr>
        <w:jc w:val="both"/>
        <w:rPr>
          <w:rFonts w:hint="eastAsia" w:ascii="Times New Roman" w:hAnsi="Times New Roman" w:cs="Times New Roman"/>
          <w:b/>
          <w:bCs/>
          <w:sz w:val="21"/>
          <w:szCs w:val="22"/>
        </w:rPr>
      </w:pPr>
      <w:r>
        <w:rPr>
          <w:rFonts w:hint="eastAsia" w:ascii="Times New Roman" w:hAnsi="Times New Roman" w:cs="Times New Roman"/>
          <w:b/>
          <w:bCs/>
          <w:sz w:val="21"/>
          <w:szCs w:val="22"/>
        </w:rPr>
        <w:t>Consent for publication</w:t>
      </w:r>
    </w:p>
    <w:p w14:paraId="462D2BC1">
      <w:pPr>
        <w:jc w:val="both"/>
        <w:rPr>
          <w:rFonts w:hint="eastAsia" w:ascii="Times New Roman" w:hAnsi="Times New Roman" w:cs="Times New Roman"/>
          <w:sz w:val="21"/>
          <w:szCs w:val="22"/>
        </w:rPr>
      </w:pPr>
      <w:r>
        <w:rPr>
          <w:rFonts w:hint="eastAsia" w:ascii="Times New Roman" w:hAnsi="Times New Roman" w:cs="Times New Roman"/>
          <w:sz w:val="21"/>
          <w:szCs w:val="22"/>
        </w:rPr>
        <w:t>All authors have reviewed and approved the manuscript for publication.</w:t>
      </w:r>
    </w:p>
    <w:p w14:paraId="4DF46986">
      <w:pPr>
        <w:jc w:val="both"/>
        <w:rPr>
          <w:rFonts w:hint="eastAsia" w:ascii="Times New Roman" w:hAnsi="Times New Roman" w:cs="Times New Roman"/>
          <w:b/>
          <w:bCs/>
          <w:sz w:val="21"/>
          <w:szCs w:val="22"/>
        </w:rPr>
      </w:pPr>
      <w:r>
        <w:rPr>
          <w:rFonts w:hint="eastAsia" w:ascii="Times New Roman" w:hAnsi="Times New Roman" w:cs="Times New Roman"/>
          <w:b/>
          <w:bCs/>
          <w:sz w:val="21"/>
          <w:szCs w:val="22"/>
        </w:rPr>
        <w:t>Conflicts of interest</w:t>
      </w:r>
    </w:p>
    <w:p w14:paraId="2B30F6DC">
      <w:pPr>
        <w:jc w:val="both"/>
        <w:rPr>
          <w:rFonts w:hint="eastAsia" w:ascii="Times New Roman" w:hAnsi="Times New Roman" w:cs="Times New Roman"/>
          <w:sz w:val="21"/>
          <w:szCs w:val="22"/>
        </w:rPr>
      </w:pPr>
      <w:r>
        <w:rPr>
          <w:rFonts w:hint="eastAsia" w:ascii="Times New Roman" w:hAnsi="Times New Roman" w:cs="Times New Roman"/>
          <w:sz w:val="21"/>
          <w:szCs w:val="22"/>
        </w:rPr>
        <w:t>The authors declare that they have no conflicts of interest.</w:t>
      </w:r>
    </w:p>
    <w:p w14:paraId="43110E4E">
      <w:pPr>
        <w:jc w:val="both"/>
        <w:rPr>
          <w:rFonts w:ascii="Times New Roman" w:hAnsi="Times New Roman" w:cs="Times New Roman"/>
          <w:b/>
          <w:bCs/>
          <w:sz w:val="21"/>
          <w:szCs w:val="22"/>
        </w:rPr>
      </w:pPr>
      <w:r>
        <w:rPr>
          <w:rFonts w:hint="eastAsia" w:ascii="Times New Roman" w:hAnsi="Times New Roman" w:cs="Times New Roman"/>
          <w:b/>
          <w:bCs/>
          <w:sz w:val="21"/>
          <w:szCs w:val="22"/>
        </w:rPr>
        <w:t>References</w:t>
      </w:r>
    </w:p>
    <w:p w14:paraId="3555971C">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[1] Luo A, Xie Z, Wang Y, Wang X, Li S, Yan J et al. Type 2 diabetes mellitus-associated cognitive dysfunction: Advances in potential mechanisms and therapies. </w:t>
      </w:r>
      <w:r>
        <w:rPr>
          <w:rFonts w:hint="eastAsia" w:ascii="Times New Roman" w:hAnsi="Times New Roman" w:eastAsia="等线" w:cs="Times New Roman"/>
          <w:b/>
          <w:bCs/>
          <w:i/>
          <w:iCs/>
          <w:sz w:val="21"/>
          <w:szCs w:val="22"/>
        </w:rPr>
        <w:t>Neurosci Biobehav Rev</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2022</w:t>
      </w:r>
      <w:r>
        <w:rPr>
          <w:rFonts w:hint="eastAsia" w:ascii="Times New Roman" w:hAnsi="Times New Roman" w:eastAsia="等线" w:cs="Times New Roman"/>
          <w:sz w:val="21"/>
          <w:szCs w:val="22"/>
        </w:rPr>
        <w:t>; 137: 104642.</w:t>
      </w:r>
    </w:p>
    <w:p w14:paraId="2EEC4FD6">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[2] Li Y, Qian F, Cheng X, Wang D, Wang Y, Pan Y et al. Dysbiosis of Oral Microbiota and Metabolite Profiles Associated with Type 2 Diabetes Mellitus. </w:t>
      </w:r>
      <w:r>
        <w:rPr>
          <w:rFonts w:hint="eastAsia" w:ascii="Times New Roman" w:hAnsi="Times New Roman" w:eastAsia="等线" w:cs="Times New Roman"/>
          <w:b/>
          <w:bCs/>
          <w:i/>
          <w:iCs/>
          <w:sz w:val="21"/>
          <w:szCs w:val="22"/>
        </w:rPr>
        <w:t>Microbiol Spectr</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2023;</w:t>
      </w:r>
      <w:r>
        <w:rPr>
          <w:rFonts w:hint="eastAsia" w:ascii="Times New Roman" w:hAnsi="Times New Roman" w:eastAsia="等线" w:cs="Times New Roman"/>
          <w:sz w:val="21"/>
          <w:szCs w:val="22"/>
        </w:rPr>
        <w:t xml:space="preserve"> 11: e0379622.</w:t>
      </w:r>
    </w:p>
    <w:p w14:paraId="6211645F">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[3] Grisi DC, Vieira IV, de Almeida Lima AK, de Oliveira Mattos MC, Damé-Teixeira N, Salles LP et al. The Complex Interrelationship between Diabetes Mellitus, Oral Diseases and General Health. </w:t>
      </w:r>
      <w:r>
        <w:rPr>
          <w:rFonts w:hint="eastAsia" w:ascii="Times New Roman" w:hAnsi="Times New Roman" w:eastAsia="等线" w:cs="Times New Roman"/>
          <w:b/>
          <w:bCs/>
          <w:sz w:val="21"/>
          <w:szCs w:val="22"/>
        </w:rPr>
        <w:t>Curr Diabetes Rev</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2022</w:t>
      </w:r>
      <w:r>
        <w:rPr>
          <w:rFonts w:hint="eastAsia" w:ascii="Times New Roman" w:hAnsi="Times New Roman" w:eastAsia="等线" w:cs="Times New Roman"/>
          <w:sz w:val="21"/>
          <w:szCs w:val="22"/>
        </w:rPr>
        <w:t>; 18: e220321192408.</w:t>
      </w:r>
    </w:p>
    <w:p w14:paraId="504479A3">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[4] Graves DT, Levine MA, Aldosary S, Demmer RT. Understanding the Periodontitis-Diabetes Linkage: Mechanisms and Evidence.</w:t>
      </w:r>
      <w:r>
        <w:rPr>
          <w:rFonts w:hint="eastAsia" w:ascii="Times New Roman" w:hAnsi="Times New Roman" w:eastAsia="等线" w:cs="Times New Roman"/>
          <w:b/>
          <w:bCs/>
          <w:i/>
          <w:iCs/>
          <w:sz w:val="21"/>
          <w:szCs w:val="22"/>
        </w:rPr>
        <w:t xml:space="preserve"> J Dent Res</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2026</w:t>
      </w:r>
      <w:r>
        <w:rPr>
          <w:rFonts w:hint="eastAsia" w:ascii="Times New Roman" w:hAnsi="Times New Roman" w:eastAsia="等线" w:cs="Times New Roman"/>
          <w:sz w:val="21"/>
          <w:szCs w:val="22"/>
        </w:rPr>
        <w:t>; 105: 21-30.</w:t>
      </w:r>
    </w:p>
    <w:p w14:paraId="5B9788CC">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[5] Drucker DJ. GLP-1-based therapies for diabetes, obesity and beyond. </w:t>
      </w:r>
      <w:r>
        <w:rPr>
          <w:rFonts w:hint="eastAsia" w:ascii="Times New Roman" w:hAnsi="Times New Roman" w:eastAsia="等线" w:cs="Times New Roman"/>
          <w:b/>
          <w:bCs/>
          <w:i/>
          <w:iCs/>
          <w:sz w:val="21"/>
          <w:szCs w:val="22"/>
        </w:rPr>
        <w:t>Nat Rev Drug Discov</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2025</w:t>
      </w:r>
      <w:r>
        <w:rPr>
          <w:rFonts w:hint="eastAsia" w:ascii="Times New Roman" w:hAnsi="Times New Roman" w:eastAsia="等线" w:cs="Times New Roman"/>
          <w:sz w:val="21"/>
          <w:szCs w:val="22"/>
        </w:rPr>
        <w:t>; 24: 631-650.</w:t>
      </w:r>
    </w:p>
    <w:p w14:paraId="2DBC3D22">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[6] Li TT, Chen X, Huo D, Arifuzzaman M, Qiao S, Jin WB et al. Microbiota metabolism of intestinal amino acids impacts host nutrient homeostasis and physiology. </w:t>
      </w:r>
      <w:r>
        <w:rPr>
          <w:rFonts w:hint="eastAsia" w:ascii="Times New Roman" w:hAnsi="Times New Roman" w:eastAsia="等线" w:cs="Times New Roman"/>
          <w:b/>
          <w:bCs/>
          <w:i/>
          <w:iCs/>
          <w:sz w:val="21"/>
          <w:szCs w:val="22"/>
        </w:rPr>
        <w:t>Cell Host Microbe</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2024</w:t>
      </w:r>
      <w:r>
        <w:rPr>
          <w:rFonts w:hint="eastAsia" w:ascii="Times New Roman" w:hAnsi="Times New Roman" w:eastAsia="等线" w:cs="Times New Roman"/>
          <w:sz w:val="21"/>
          <w:szCs w:val="22"/>
        </w:rPr>
        <w:t>; 32: 661-675.e610.</w:t>
      </w:r>
    </w:p>
    <w:p w14:paraId="7A7D5078">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[7] Kocher T, König J, Borgnakke WS, Pink C, Meisel P. Periodontal complications of hyperglycemia/diabetes mellitus: Epidemiologic complexity and clinical challenge. </w:t>
      </w:r>
      <w:r>
        <w:rPr>
          <w:rFonts w:hint="eastAsia" w:ascii="Times New Roman" w:hAnsi="Times New Roman" w:eastAsia="等线" w:cs="Times New Roman"/>
          <w:b/>
          <w:bCs/>
          <w:i/>
          <w:iCs/>
          <w:sz w:val="21"/>
          <w:szCs w:val="22"/>
        </w:rPr>
        <w:t>Periodontol 2000</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2018</w:t>
      </w:r>
      <w:r>
        <w:rPr>
          <w:rFonts w:hint="eastAsia" w:ascii="Times New Roman" w:hAnsi="Times New Roman" w:eastAsia="等线" w:cs="Times New Roman"/>
          <w:sz w:val="21"/>
          <w:szCs w:val="22"/>
        </w:rPr>
        <w:t>; 78: 59-97.</w:t>
      </w:r>
    </w:p>
    <w:p w14:paraId="6C4563C2">
      <w:pPr>
        <w:jc w:val="both"/>
        <w:rPr>
          <w:rFonts w:hint="eastAsia" w:ascii="Times New Roman" w:hAnsi="Times New Roman" w:eastAsia="等线" w:cs="Times New Roman"/>
          <w:sz w:val="21"/>
          <w:szCs w:val="22"/>
        </w:rPr>
      </w:pPr>
      <w:r>
        <w:rPr>
          <w:rFonts w:hint="eastAsia" w:ascii="Times New Roman" w:hAnsi="Times New Roman" w:eastAsia="等线" w:cs="Times New Roman"/>
          <w:sz w:val="21"/>
          <w:szCs w:val="22"/>
        </w:rPr>
        <w:t xml:space="preserve">[8] Ryan DH, Lingvay I, Deanfield J, Kahn SE, Barros E, Burguera B et al. Long-term weight loss effects of semaglutide in obesity without diabetes in the SELECT trial. </w:t>
      </w:r>
      <w:r>
        <w:rPr>
          <w:rFonts w:hint="eastAsia" w:ascii="Times New Roman" w:hAnsi="Times New Roman" w:eastAsia="等线" w:cs="Times New Roman"/>
          <w:b/>
          <w:bCs/>
          <w:i/>
          <w:iCs/>
          <w:sz w:val="21"/>
          <w:szCs w:val="22"/>
        </w:rPr>
        <w:t>Nat Med</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2024</w:t>
      </w:r>
      <w:r>
        <w:rPr>
          <w:rFonts w:hint="eastAsia" w:ascii="Times New Roman" w:hAnsi="Times New Roman" w:eastAsia="等线" w:cs="Times New Roman"/>
          <w:sz w:val="21"/>
          <w:szCs w:val="22"/>
        </w:rPr>
        <w:t>; 30: 2049-2057.</w:t>
      </w:r>
    </w:p>
    <w:p w14:paraId="5EFF12F7">
      <w:pPr>
        <w:jc w:val="both"/>
        <w:rPr>
          <w:rFonts w:ascii="Times New Roman" w:hAnsi="Times New Roman" w:cs="Times New Roman"/>
          <w:sz w:val="21"/>
          <w:szCs w:val="22"/>
        </w:rPr>
      </w:pPr>
      <w:r>
        <w:rPr>
          <w:rFonts w:hint="eastAsia" w:ascii="Times New Roman" w:hAnsi="Times New Roman" w:eastAsia="等线" w:cs="Times New Roman"/>
          <w:sz w:val="21"/>
          <w:szCs w:val="22"/>
        </w:rPr>
        <w:t xml:space="preserve">[9] Karasawa T, Choi RH, Meza CA, Rout S, Drummond MJ, Chaix A et al. Unexpected effects of semaglutide on skeletal muscle mass and force-generating capacity in mice. </w:t>
      </w:r>
      <w:r>
        <w:rPr>
          <w:rFonts w:hint="eastAsia" w:ascii="Times New Roman" w:hAnsi="Times New Roman" w:eastAsia="等线" w:cs="Times New Roman"/>
          <w:b/>
          <w:bCs/>
          <w:i/>
          <w:iCs/>
          <w:sz w:val="21"/>
          <w:szCs w:val="22"/>
        </w:rPr>
        <w:t>Cell Metab</w:t>
      </w:r>
      <w:r>
        <w:rPr>
          <w:rFonts w:hint="eastAsia" w:ascii="Times New Roman" w:hAnsi="Times New Roman" w:eastAsia="等线" w:cs="Times New Roman"/>
          <w:sz w:val="21"/>
          <w:szCs w:val="22"/>
        </w:rPr>
        <w:t xml:space="preserve"> </w:t>
      </w:r>
      <w:r>
        <w:rPr>
          <w:rFonts w:hint="eastAsia" w:ascii="Times New Roman" w:hAnsi="Times New Roman" w:eastAsia="等线" w:cs="Times New Roman"/>
          <w:b/>
          <w:bCs/>
          <w:sz w:val="21"/>
          <w:szCs w:val="22"/>
        </w:rPr>
        <w:t>2025</w:t>
      </w:r>
      <w:r>
        <w:rPr>
          <w:rFonts w:hint="eastAsia" w:ascii="Times New Roman" w:hAnsi="Times New Roman" w:eastAsia="等线" w:cs="Times New Roman"/>
          <w:sz w:val="21"/>
          <w:szCs w:val="22"/>
        </w:rPr>
        <w:t>; 37: 1619-1620.</w:t>
      </w:r>
    </w:p>
    <w:p w14:paraId="7A877727">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39F302D0">
      <w:pPr>
        <w:jc w:val="center"/>
        <w:rPr>
          <w:rFonts w:ascii="Times New Roman" w:hAnsi="Times New Roman" w:cs="Times New Roman"/>
          <w:b/>
          <w:bCs/>
        </w:rPr>
      </w:pPr>
      <w:r>
        <w:rPr>
          <w:rFonts w:hint="eastAsia" w:ascii="Times New Roman" w:hAnsi="Times New Roman" w:cs="Times New Roman"/>
          <w:b/>
          <w:bCs/>
        </w:rPr>
        <w:t>Figure legends</w:t>
      </w:r>
    </w:p>
    <w:p w14:paraId="3ABFB1EA">
      <w:pPr>
        <w:jc w:val="both"/>
        <w:rPr>
          <w:rFonts w:ascii="Times New Roman" w:hAnsi="Times New Roman" w:cs="Times New Roman"/>
          <w:b/>
          <w:bCs/>
          <w:sz w:val="20"/>
          <w:szCs w:val="21"/>
        </w:rPr>
      </w:pPr>
      <w:r>
        <w:rPr>
          <w:rFonts w:hint="eastAsia" w:ascii="Times New Roman" w:hAnsi="Times New Roman" w:cs="Times New Roman"/>
          <w:b/>
          <w:bCs/>
          <w:sz w:val="20"/>
          <w:szCs w:val="21"/>
        </w:rPr>
        <w:t>Figure 1. Partial remodeling of oral microbial community structure and dysbiosis by semaglutide in T2D mice.</w:t>
      </w:r>
    </w:p>
    <w:p w14:paraId="67193B5E">
      <w:pPr>
        <w:jc w:val="both"/>
        <w:rPr>
          <w:rFonts w:ascii="Times New Roman" w:hAnsi="Times New Roman" w:cs="Times New Roman"/>
          <w:sz w:val="20"/>
          <w:szCs w:val="21"/>
        </w:rPr>
      </w:pPr>
      <w:r>
        <w:rPr>
          <w:rFonts w:hint="eastAsia" w:ascii="Times New Roman" w:hAnsi="Times New Roman" w:cs="Times New Roman"/>
          <w:sz w:val="20"/>
          <w:szCs w:val="21"/>
        </w:rPr>
        <w:t>(A) α diversity measured by observed ASVs across WT, db/db, and semaglutide-treated groups. (B) Principal coordinate analysis (PCoA) based on Bray–Curtis distance showing separation of microbial communities and partial shift of treated samples toward the WT cluster. (C) Dysbiosis index (median CLR-based score) across groups. (D–F) Relative abundance of representative genera, including Bacillus (D), Delftia (E), and Streptococcus (F). Data are presented as mean ± SEM. Statistical significance is indicated where applicable. (</w:t>
      </w:r>
      <w:r>
        <w:rPr>
          <w:rFonts w:ascii="Times New Roman" w:hAnsi="Times New Roman" w:cs="Times New Roman"/>
          <w:sz w:val="20"/>
          <w:szCs w:val="21"/>
        </w:rPr>
        <w:t>*</w:t>
      </w:r>
      <w:r>
        <w:rPr>
          <w:rFonts w:ascii="Times New Roman" w:hAnsi="Times New Roman" w:cs="Times New Roman"/>
          <w:i/>
          <w:iCs/>
          <w:sz w:val="20"/>
          <w:szCs w:val="21"/>
        </w:rPr>
        <w:t>P</w:t>
      </w:r>
      <w:r>
        <w:rPr>
          <w:rFonts w:ascii="Times New Roman" w:hAnsi="Times New Roman" w:cs="Times New Roman"/>
          <w:sz w:val="20"/>
          <w:szCs w:val="21"/>
        </w:rPr>
        <w:t xml:space="preserve"> &lt; 0.05, **</w:t>
      </w:r>
      <w:r>
        <w:rPr>
          <w:rFonts w:ascii="Times New Roman" w:hAnsi="Times New Roman" w:cs="Times New Roman"/>
          <w:i/>
          <w:iCs/>
          <w:sz w:val="20"/>
          <w:szCs w:val="21"/>
        </w:rPr>
        <w:t>P</w:t>
      </w:r>
      <w:r>
        <w:rPr>
          <w:rFonts w:ascii="Times New Roman" w:hAnsi="Times New Roman" w:cs="Times New Roman"/>
          <w:sz w:val="20"/>
          <w:szCs w:val="21"/>
        </w:rPr>
        <w:t xml:space="preserve"> &lt; 0.01</w:t>
      </w:r>
      <w:r>
        <w:rPr>
          <w:rFonts w:hint="eastAsia" w:ascii="Times New Roman" w:hAnsi="Times New Roman" w:cs="Times New Roman"/>
          <w:sz w:val="20"/>
          <w:szCs w:val="21"/>
        </w:rPr>
        <w:t>)</w:t>
      </w:r>
    </w:p>
    <w:p w14:paraId="4E076B6D">
      <w:pPr>
        <w:jc w:val="center"/>
        <w:rPr>
          <w:rFonts w:ascii="Times New Roman" w:hAnsi="Times New Roman" w:cs="Times New Roman"/>
          <w:sz w:val="21"/>
          <w:szCs w:val="22"/>
        </w:rPr>
      </w:pPr>
      <w:r>
        <w:rPr>
          <w:rFonts w:hint="eastAsia" w:ascii="Times New Roman" w:hAnsi="Times New Roman" w:cs="Times New Roman"/>
          <w:sz w:val="21"/>
          <w:szCs w:val="22"/>
        </w:rPr>
        <w:drawing>
          <wp:inline distT="0" distB="0" distL="0" distR="0">
            <wp:extent cx="5299710" cy="3282950"/>
            <wp:effectExtent l="0" t="0" r="0" b="0"/>
            <wp:docPr id="4405763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319"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0234" cy="3283771"/>
                    </a:xfrm>
                    <a:prstGeom prst="rect">
                      <a:avLst/>
                    </a:prstGeom>
                  </pic:spPr>
                </pic:pic>
              </a:graphicData>
            </a:graphic>
          </wp:inline>
        </w:drawing>
      </w:r>
    </w:p>
    <w:p w14:paraId="0DB10C1E">
      <w:pPr>
        <w:jc w:val="both"/>
        <w:rPr>
          <w:rFonts w:ascii="Times New Roman" w:hAnsi="Times New Roman" w:cs="Times New Roman"/>
          <w:b/>
          <w:bCs/>
          <w:sz w:val="20"/>
          <w:szCs w:val="21"/>
        </w:rPr>
      </w:pPr>
      <w:r>
        <w:rPr>
          <w:rFonts w:hint="eastAsia" w:ascii="Times New Roman" w:hAnsi="Times New Roman" w:cs="Times New Roman"/>
          <w:b/>
          <w:bCs/>
          <w:sz w:val="20"/>
          <w:szCs w:val="21"/>
        </w:rPr>
        <w:t>Figure 2. Rescue-associated host transcriptional programs and coordinated host–microbiome interactions.</w:t>
      </w:r>
    </w:p>
    <w:p w14:paraId="5C2A945E">
      <w:pPr>
        <w:jc w:val="both"/>
        <w:rPr>
          <w:rFonts w:ascii="Times New Roman" w:hAnsi="Times New Roman" w:cs="Times New Roman"/>
          <w:sz w:val="20"/>
          <w:szCs w:val="21"/>
        </w:rPr>
      </w:pPr>
      <w:r>
        <w:rPr>
          <w:rFonts w:hint="eastAsia" w:ascii="Times New Roman" w:hAnsi="Times New Roman" w:cs="Times New Roman"/>
          <w:sz w:val="20"/>
          <w:szCs w:val="21"/>
        </w:rPr>
        <w:t>(A) Co-expression clustering of transcriptomic data showing six gene clusters across conditions, with clusters 2 and 4 exhibiting the most pronounced differences. (B) Functional enrichment analysis of cluster 2 and cluster 4 genes, highlighting enrichment of interferon- and antiviral-response pathways in rescue-associated signatures. (C) Gene–microbiota association network illustrating correlations between cluster-associated genes and bacterial genera. (D) Correlation between dysbiosis index and cluster-specific eigengenes, showing positive association for cluster 2 (left) and negative association for cluster 4 (right). (E) Comparison of gene–microbiota interaction networks across WT, db/db, and treated groups, showing altered network structure in db/db mice and partial restoration following treatment. Red and blue edges indicate positive and negative correlations, respectively. Node color reflects deviation from WT reference. (</w:t>
      </w:r>
      <w:r>
        <w:rPr>
          <w:rFonts w:ascii="Times New Roman" w:hAnsi="Times New Roman" w:cs="Times New Roman"/>
          <w:sz w:val="20"/>
          <w:szCs w:val="21"/>
        </w:rPr>
        <w:t>*</w:t>
      </w:r>
      <w:r>
        <w:rPr>
          <w:rFonts w:ascii="Times New Roman" w:hAnsi="Times New Roman" w:cs="Times New Roman"/>
          <w:i/>
          <w:iCs/>
          <w:sz w:val="20"/>
          <w:szCs w:val="21"/>
        </w:rPr>
        <w:t>P</w:t>
      </w:r>
      <w:r>
        <w:rPr>
          <w:rFonts w:ascii="Times New Roman" w:hAnsi="Times New Roman" w:cs="Times New Roman"/>
          <w:sz w:val="20"/>
          <w:szCs w:val="21"/>
        </w:rPr>
        <w:t xml:space="preserve"> &lt; 0.05</w:t>
      </w:r>
      <w:r>
        <w:rPr>
          <w:rFonts w:hint="eastAsia" w:ascii="Times New Roman" w:hAnsi="Times New Roman" w:cs="Times New Roman"/>
          <w:sz w:val="20"/>
          <w:szCs w:val="21"/>
        </w:rPr>
        <w:t>)</w:t>
      </w:r>
    </w:p>
    <w:p w14:paraId="688AC033">
      <w:pPr>
        <w:jc w:val="both"/>
        <w:rPr>
          <w:rFonts w:ascii="Times New Roman" w:hAnsi="Times New Roman" w:cs="Times New Roman"/>
          <w:sz w:val="21"/>
          <w:szCs w:val="22"/>
        </w:rPr>
      </w:pPr>
    </w:p>
    <w:p w14:paraId="2DFC4D81">
      <w:pPr>
        <w:jc w:val="center"/>
        <w:rPr>
          <w:rFonts w:ascii="Times New Roman" w:hAnsi="Times New Roman" w:cs="Times New Roman"/>
          <w:sz w:val="21"/>
          <w:szCs w:val="22"/>
        </w:rPr>
      </w:pPr>
      <w:r>
        <w:rPr>
          <w:rFonts w:hint="eastAsia" w:ascii="Times New Roman" w:hAnsi="Times New Roman" w:cs="Times New Roman"/>
          <w:sz w:val="21"/>
          <w:szCs w:val="22"/>
        </w:rPr>
        <w:drawing>
          <wp:inline distT="0" distB="0" distL="0" distR="0">
            <wp:extent cx="5426075" cy="5355590"/>
            <wp:effectExtent l="0" t="0" r="3175" b="0"/>
            <wp:docPr id="2158605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053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0050" cy="5359445"/>
                    </a:xfrm>
                    <a:prstGeom prst="rect">
                      <a:avLst/>
                    </a:prstGeom>
                  </pic:spPr>
                </pic:pic>
              </a:graphicData>
            </a:graphic>
          </wp:inline>
        </w:drawing>
      </w:r>
    </w:p>
    <w:p w14:paraId="433613B2">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Lucida Console">
    <w:panose1 w:val="020B0609040504020204"/>
    <w:charset w:val="00"/>
    <w:family w:val="auto"/>
    <w:pitch w:val="default"/>
    <w:sig w:usb0="8000028F" w:usb1="00001800" w:usb2="00000000" w:usb3="00000000" w:csb0="0000001F" w:csb1="D7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C94FB4"/>
    <w:multiLevelType w:val="multilevel"/>
    <w:tmpl w:val="28C94FB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CBEFC85"/>
    <w:multiLevelType w:val="singleLevel"/>
    <w:tmpl w:val="2CBEFC85"/>
    <w:lvl w:ilvl="0" w:tentative="0">
      <w:start w:val="1"/>
      <w:numFmt w:val="bullet"/>
      <w:lvlText w:val=""/>
      <w:lvlJc w:val="left"/>
      <w:pPr>
        <w:ind w:left="720" w:hanging="360"/>
      </w:pPr>
      <w:rPr>
        <w:rFonts w:hint="default" w:ascii="Symbol" w:hAnsi="Symbol" w:cs="Symbol"/>
        <w:sz w:val="20"/>
      </w:rPr>
    </w:lvl>
  </w:abstractNum>
  <w:abstractNum w:abstractNumId="2">
    <w:nsid w:val="319C9FFD"/>
    <w:multiLevelType w:val="singleLevel"/>
    <w:tmpl w:val="319C9FFD"/>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0">
    <w15:presenceInfo w15:providerId="WPS Office" w15:userId="882816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F36DA1"/>
    <w:rsid w:val="00042676"/>
    <w:rsid w:val="000F4399"/>
    <w:rsid w:val="00127E42"/>
    <w:rsid w:val="0015513A"/>
    <w:rsid w:val="002C2601"/>
    <w:rsid w:val="002D6F29"/>
    <w:rsid w:val="00325DB9"/>
    <w:rsid w:val="003C1C8E"/>
    <w:rsid w:val="004F15AE"/>
    <w:rsid w:val="005700CD"/>
    <w:rsid w:val="006845EF"/>
    <w:rsid w:val="00711888"/>
    <w:rsid w:val="0072078B"/>
    <w:rsid w:val="00933FEC"/>
    <w:rsid w:val="009B3110"/>
    <w:rsid w:val="009B5D78"/>
    <w:rsid w:val="00B32CF2"/>
    <w:rsid w:val="00C0738C"/>
    <w:rsid w:val="00C87123"/>
    <w:rsid w:val="00CC2E4E"/>
    <w:rsid w:val="00CF6560"/>
    <w:rsid w:val="00D421C0"/>
    <w:rsid w:val="00D613FC"/>
    <w:rsid w:val="00E34B10"/>
    <w:rsid w:val="00F36DA1"/>
    <w:rsid w:val="10F47B61"/>
    <w:rsid w:val="18DD3A92"/>
    <w:rsid w:val="31167367"/>
    <w:rsid w:val="666A09EA"/>
    <w:rsid w:val="712E2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4"/>
    <w:unhideWhenUsed/>
    <w:uiPriority w:val="99"/>
    <w:pPr>
      <w:tabs>
        <w:tab w:val="center" w:pos="4153"/>
        <w:tab w:val="right" w:pos="8306"/>
      </w:tabs>
      <w:snapToGrid w:val="0"/>
      <w:spacing w:line="240" w:lineRule="auto"/>
    </w:pPr>
    <w:rPr>
      <w:sz w:val="18"/>
      <w:szCs w:val="18"/>
    </w:rPr>
  </w:style>
  <w:style w:type="paragraph" w:styleId="12">
    <w:name w:val="header"/>
    <w:basedOn w:val="1"/>
    <w:link w:val="43"/>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rPr>
      <w:sz w:val="24"/>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Hyperlink"/>
    <w:basedOn w:val="17"/>
    <w:unhideWhenUsed/>
    <w:uiPriority w:val="99"/>
    <w:rPr>
      <w:color w:val="467886" w:themeColor="hyperlink"/>
      <w:u w:val="single"/>
      <w14:textFill>
        <w14:solidFill>
          <w14:schemeClr w14:val="hlink"/>
        </w14:solidFill>
      </w14:textFill>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paragraph" w:customStyle="1" w:styleId="37">
    <w:name w:val="EndNote Bibliography Title"/>
    <w:basedOn w:val="1"/>
    <w:link w:val="38"/>
    <w:uiPriority w:val="0"/>
    <w:pPr>
      <w:spacing w:after="0"/>
      <w:jc w:val="center"/>
    </w:pPr>
    <w:rPr>
      <w:rFonts w:ascii="等线" w:hAnsi="等线" w:eastAsia="等线"/>
    </w:rPr>
  </w:style>
  <w:style w:type="character" w:customStyle="1" w:styleId="38">
    <w:name w:val="EndNote Bibliography Title 字符"/>
    <w:basedOn w:val="17"/>
    <w:link w:val="37"/>
    <w:uiPriority w:val="0"/>
    <w:rPr>
      <w:rFonts w:ascii="等线" w:hAnsi="等线" w:eastAsia="等线"/>
    </w:rPr>
  </w:style>
  <w:style w:type="paragraph" w:customStyle="1" w:styleId="39">
    <w:name w:val="EndNote Bibliography"/>
    <w:basedOn w:val="1"/>
    <w:link w:val="40"/>
    <w:uiPriority w:val="0"/>
    <w:pPr>
      <w:spacing w:line="240" w:lineRule="auto"/>
    </w:pPr>
    <w:rPr>
      <w:rFonts w:ascii="等线" w:hAnsi="等线" w:eastAsia="等线"/>
    </w:rPr>
  </w:style>
  <w:style w:type="character" w:customStyle="1" w:styleId="40">
    <w:name w:val="EndNote Bibliography 字符"/>
    <w:basedOn w:val="17"/>
    <w:link w:val="39"/>
    <w:uiPriority w:val="0"/>
    <w:rPr>
      <w:rFonts w:ascii="等线" w:hAnsi="等线" w:eastAsia="等线"/>
    </w:rPr>
  </w:style>
  <w:style w:type="character" w:customStyle="1" w:styleId="41">
    <w:name w:val="Unresolved Mention"/>
    <w:basedOn w:val="17"/>
    <w:semiHidden/>
    <w:unhideWhenUsed/>
    <w:uiPriority w:val="99"/>
    <w:rPr>
      <w:color w:val="605E5C"/>
      <w:shd w:val="clear" w:color="auto" w:fill="E1DFDD"/>
    </w:rPr>
  </w:style>
  <w:style w:type="character" w:styleId="42">
    <w:name w:val="Placeholder Text"/>
    <w:basedOn w:val="17"/>
    <w:semiHidden/>
    <w:uiPriority w:val="99"/>
    <w:rPr>
      <w:color w:val="666666"/>
    </w:rPr>
  </w:style>
  <w:style w:type="character" w:customStyle="1" w:styleId="43">
    <w:name w:val="页眉 字符"/>
    <w:basedOn w:val="17"/>
    <w:link w:val="12"/>
    <w:uiPriority w:val="99"/>
    <w:rPr>
      <w:sz w:val="18"/>
      <w:szCs w:val="18"/>
    </w:rPr>
  </w:style>
  <w:style w:type="character" w:customStyle="1" w:styleId="44">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1494</Words>
  <Characters>9868</Characters>
  <Lines>205</Lines>
  <Paragraphs>56</Paragraphs>
  <TotalTime>3</TotalTime>
  <ScaleCrop>false</ScaleCrop>
  <LinksUpToDate>false</LinksUpToDate>
  <CharactersWithSpaces>11306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2026-04-09T08:14:00Z</dcterms:created>
  <dc:creator>子 影</dc:creator>
  <cp:lastModifiedBy>1＆0</cp:lastModifiedBy>
  <dcterms:modified xsi:type="dcterms:W3CDTF">2026-04-28T03:55:56Z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eyJoZGlkIjoiMzExM2Q3MGQ4NjY2ZTU5ZTZhODczZjFmNWFjZDc4ZjMiLCJ1c2VySWQiOiIzODA5OTc1NjYifQ==</vt:lpwstr>
  </property>
  <property fmtid="{D5CDD505-2E9C-101B-9397-08002B2CF9AE}" pid="3" name="KSOProductBuildVer">
    <vt:lpwstr>2052-12.1.0.22529</vt:lpwstr>
  </property>
  <property fmtid="{D5CDD505-2E9C-101B-9397-08002B2CF9AE}" pid="4" name="ICV">
    <vt:lpwstr>D54CD04FFAA4423B97A106ADF18580CB_13</vt:lpwstr>
  </property>
</Properties>
</file>