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endfor %}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6"/>
        <w:gridCol w:w="1628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6"/>
        <w:gridCol w:w="1628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86"/>
        <w:gridCol w:w="1628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703"/>
        <w:gridCol w:w="1715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 xml:space="preserve">{%p for activation in </w:t>
      </w:r>
      <w:r>
        <w:rPr/>
        <w:t>my_</w:t>
      </w:r>
      <w:r>
        <w:rPr/>
        <w:t>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LibreOffice/6.4.0.3$Linux_X86_64 LibreOffice_project/4c008856d7f83292dc6823d3bed76200cc9a2ba2</Application>
  <Pages>2</Pages>
  <Words>331</Words>
  <Characters>2414</Characters>
  <CharactersWithSpaces>2628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2020-02-14T11:03:00Z</dcterms:modified>
  <cp:revision>76</cp:revision>
  <dc:subject/>
  <dc:title/>
</cp:coreProperties>
</file>