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10791D" w:rsidRDefault="0010791D" w:rsidP="0010791D">
            <w:pPr>
              <w:pStyle w:val="Absender"/>
            </w:pPr>
            <w:r w:rsidRPr="00F60EF3">
              <w:t>www.be.ch/</w:t>
            </w:r>
            <w:r>
              <w:t>prefectures</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10791D" w:rsidRDefault="0010791D" w:rsidP="0041440D">
            <w:pPr>
              <w:pStyle w:val="Absender"/>
              <w:rPr>
                <w:lang w:val="fr-CH"/>
              </w:rPr>
            </w:pPr>
            <w:r w:rsidRPr="00783544">
              <w:rPr>
                <w:lang w:val="fr-CH"/>
              </w:rPr>
              <w:t>Notre référence :</w:t>
            </w:r>
            <w:r w:rsidRPr="00A975C1">
              <w:rPr>
                <w:lang w:val="fr-CH"/>
              </w:rPr>
              <w:t xml:space="preserve"> Numéro eBau {{EBAU_NR}} / {{DOSSIER_NR}}</w:t>
            </w:r>
          </w:p>
        </w:tc>
        <w:tc>
          <w:tcPr>
            <w:tcW w:w="4876" w:type="dxa"/>
          </w:tcPr>
          <w:p w:rsidR="0041440D" w:rsidRPr="0041440D" w:rsidRDefault="001C17C7" w:rsidP="0041440D">
            <w:pPr>
              <w:pStyle w:val="Absender"/>
            </w:pPr>
            <w:r w:rsidRPr="001C17C7">
              <w:t>{{HEUTE}}</w:t>
            </w:r>
          </w:p>
        </w:tc>
      </w:tr>
    </w:tbl>
    <w:p w:rsidR="007C2791" w:rsidRPr="00F026D3" w:rsidRDefault="00F026D3" w:rsidP="0041440D">
      <w:pPr>
        <w:pStyle w:val="BetreffTitel"/>
      </w:pPr>
      <w:r w:rsidRPr="00740931">
        <w:rPr>
          <w:lang w:val="fr-CH" w:eastAsia="de-DE"/>
        </w:rPr>
        <w:t>Décision sur le régime du permis de construire</w:t>
      </w:r>
      <w:r>
        <w:rPr>
          <w:rStyle w:val="Funotenzeichen"/>
          <w:lang w:eastAsia="de-DE"/>
        </w:rPr>
        <w:footnoteReference w:id="1"/>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710"/>
      </w:tblGrid>
      <w:tr w:rsidR="0010791D" w:rsidTr="00A87C2F">
        <w:tc>
          <w:tcPr>
            <w:tcW w:w="2268" w:type="dxa"/>
          </w:tcPr>
          <w:p w:rsidR="0010791D" w:rsidRDefault="0010791D" w:rsidP="00A87C2F">
            <w:pPr>
              <w:rPr>
                <w:lang w:eastAsia="de-DE"/>
              </w:rPr>
            </w:pPr>
            <w:proofErr w:type="spellStart"/>
            <w:r>
              <w:rPr>
                <w:lang w:eastAsia="de-DE"/>
              </w:rPr>
              <w:t>Commune</w:t>
            </w:r>
            <w:proofErr w:type="spellEnd"/>
          </w:p>
        </w:tc>
        <w:tc>
          <w:tcPr>
            <w:tcW w:w="7710" w:type="dxa"/>
          </w:tcPr>
          <w:p w:rsidR="0010791D" w:rsidRDefault="0010791D" w:rsidP="00A87C2F">
            <w:pPr>
              <w:rPr>
                <w:lang w:eastAsia="de-DE"/>
              </w:rPr>
            </w:pPr>
            <w:r w:rsidRPr="0042154F">
              <w:rPr>
                <w:lang w:eastAsia="de-DE"/>
              </w:rPr>
              <w:t>{{GEMEINDE}}</w:t>
            </w:r>
          </w:p>
        </w:tc>
      </w:tr>
      <w:tr w:rsidR="0010791D" w:rsidTr="00A87C2F">
        <w:tc>
          <w:tcPr>
            <w:tcW w:w="2268" w:type="dxa"/>
          </w:tcPr>
          <w:p w:rsidR="0010791D" w:rsidRDefault="0010791D" w:rsidP="00A87C2F">
            <w:pPr>
              <w:rPr>
                <w:lang w:eastAsia="de-DE"/>
              </w:rPr>
            </w:pPr>
            <w:r w:rsidRPr="00AE0CC4">
              <w:rPr>
                <w:lang w:val="fr-CH" w:eastAsia="de-DE"/>
              </w:rPr>
              <w:t>Maître d’ouvrage</w:t>
            </w:r>
          </w:p>
        </w:tc>
        <w:tc>
          <w:tcPr>
            <w:tcW w:w="7710" w:type="dxa"/>
          </w:tcPr>
          <w:p w:rsidR="0010791D" w:rsidRPr="007A1D8D" w:rsidRDefault="0010791D" w:rsidP="00A87C2F">
            <w:pPr>
              <w:pStyle w:val="FettbasierendaufStandard"/>
            </w:pPr>
            <w:r w:rsidRPr="007A1D8D">
              <w:t xml:space="preserve">{{ALLE_GESUCHSTELLER_NAME_ADRESSE |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F026D3">
              <w:rPr>
                <w:lang w:val="fr-CH" w:eastAsia="de-DE"/>
              </w:rPr>
            </w:r>
            <w:r w:rsidR="00F026D3">
              <w:rPr>
                <w:lang w:val="fr-CH" w:eastAsia="de-DE"/>
              </w:rPr>
              <w:fldChar w:fldCharType="separate"/>
            </w:r>
            <w:r w:rsidRPr="00AE0CC4">
              <w:rPr>
                <w:lang w:val="fr-CH" w:eastAsia="de-DE"/>
              </w:rPr>
              <w:fldChar w:fldCharType="end"/>
            </w:r>
          </w:p>
        </w:tc>
        <w:tc>
          <w:tcPr>
            <w:tcW w:w="7710" w:type="dxa"/>
          </w:tcPr>
          <w:p w:rsidR="0010791D" w:rsidRDefault="0010791D"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t>Projet de construction</w:t>
            </w:r>
          </w:p>
        </w:tc>
        <w:tc>
          <w:tcPr>
            <w:tcW w:w="7710" w:type="dxa"/>
          </w:tcPr>
          <w:p w:rsidR="0010791D" w:rsidRDefault="0010791D" w:rsidP="00A87C2F">
            <w:pPr>
              <w:pStyle w:val="FettbasierendaufStandard"/>
              <w:rPr>
                <w:lang w:eastAsia="de-DE"/>
              </w:rPr>
            </w:pPr>
            <w:r w:rsidRPr="0042154F">
              <w:rPr>
                <w:lang w:eastAsia="de-DE"/>
              </w:rPr>
              <w:t>{{BESCHREIBUNG_BAUVORHABEN}}</w:t>
            </w:r>
          </w:p>
        </w:tc>
      </w:tr>
      <w:tr w:rsidR="0010791D" w:rsidTr="00A87C2F">
        <w:tc>
          <w:tcPr>
            <w:tcW w:w="2268" w:type="dxa"/>
          </w:tcPr>
          <w:p w:rsidR="0010791D" w:rsidRDefault="0010791D" w:rsidP="00A87C2F">
            <w:pPr>
              <w:rPr>
                <w:lang w:eastAsia="de-DE"/>
              </w:rPr>
            </w:pPr>
            <w:r w:rsidRPr="00AE0CC4">
              <w:rPr>
                <w:lang w:val="fr-CH" w:eastAsia="de-DE"/>
              </w:rPr>
              <w:t>Emplacement</w:t>
            </w:r>
          </w:p>
        </w:tc>
        <w:tc>
          <w:tcPr>
            <w:tcW w:w="7710" w:type="dxa"/>
          </w:tcPr>
          <w:p w:rsidR="0010791D" w:rsidRDefault="0010791D" w:rsidP="00A87C2F">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sidR="00F026D3">
              <w:rPr>
                <w:lang w:val="fr-CH" w:eastAsia="de-DE"/>
              </w:rPr>
            </w:r>
            <w:r w:rsidR="00F026D3">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F026D3">
              <w:rPr>
                <w:lang w:val="fr-CH" w:eastAsia="de-DE"/>
              </w:rPr>
            </w:r>
            <w:r w:rsidR="00F026D3">
              <w:rPr>
                <w:lang w:val="fr-CH" w:eastAsia="de-DE"/>
              </w:rPr>
              <w:fldChar w:fldCharType="separate"/>
            </w:r>
            <w:r>
              <w:rPr>
                <w:lang w:val="fr-CH" w:eastAsia="de-DE"/>
              </w:rPr>
              <w:fldChar w:fldCharType="end"/>
            </w:r>
            <w:r w:rsidR="00B70428">
              <w:rPr>
                <w:lang w:val="fr-CH" w:eastAsia="de-DE"/>
              </w:rPr>
              <w:t xml:space="preserve"> </w:t>
            </w:r>
            <w:r w:rsidR="00B70428">
              <w:t>{{PARZELLE}}</w:t>
            </w:r>
          </w:p>
        </w:tc>
      </w:tr>
    </w:tbl>
    <w:p w:rsidR="00496AC7" w:rsidRDefault="0010791D" w:rsidP="007C2791">
      <w:pPr>
        <w:pStyle w:val="berschrift1"/>
      </w:pPr>
      <w:r w:rsidRPr="00AE0CC4">
        <w:rPr>
          <w:lang w:val="fr-CH" w:eastAsia="de-DE"/>
        </w:rPr>
        <w:t>Considérants</w:t>
      </w:r>
    </w:p>
    <w:p w:rsidR="00682DA2" w:rsidRDefault="00F026D3" w:rsidP="00682DA2">
      <w:pPr>
        <w:pStyle w:val="berschrift2"/>
        <w:rPr>
          <w:lang w:val="fr-CH"/>
        </w:rPr>
      </w:pPr>
      <w:r>
        <w:rPr>
          <w:rFonts w:cs="Arial"/>
          <w:szCs w:val="22"/>
          <w:lang w:val="fr-CH"/>
        </w:rPr>
        <w:t xml:space="preserve">En cas de doute, </w:t>
      </w:r>
      <w:r>
        <w:rPr>
          <w:lang w:val="fr-CH" w:eastAsia="de-DE"/>
        </w:rPr>
        <w:fldChar w:fldCharType="begin">
          <w:ffData>
            <w:name w:val=""/>
            <w:enabled/>
            <w:calcOnExit w:val="0"/>
            <w:ddList>
              <w:listEntry w:val="la prétète"/>
              <w:listEntry w:val="le préfet"/>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eastAsia="de-DE"/>
        </w:rPr>
        <w:t xml:space="preserve"> </w:t>
      </w:r>
      <w:r>
        <w:rPr>
          <w:lang w:val="fr-CH"/>
        </w:rPr>
        <w:t>décide si un projet nécessite un permis de construire et la nature de celui-ci</w:t>
      </w:r>
      <w:r>
        <w:rPr>
          <w:rStyle w:val="Funotenzeichen"/>
          <w:lang w:val="fr-CH"/>
        </w:rPr>
        <w:footnoteReference w:id="2"/>
      </w:r>
      <w:r>
        <w:rPr>
          <w:lang w:val="fr-CH" w:eastAsia="de-DE"/>
        </w:rPr>
        <w:t xml:space="preserve">. </w:t>
      </w:r>
      <w:r>
        <w:rPr>
          <w:lang w:val="fr-CH"/>
        </w:rPr>
        <w:t xml:space="preserve">Le projet de construction est situé dans la commune </w:t>
      </w:r>
      <w:r w:rsidRPr="00D2048A">
        <w:rPr>
          <w:color w:val="FF0000"/>
          <w:lang w:val="fr-CH"/>
        </w:rPr>
        <w:t xml:space="preserve">de/d’/du </w:t>
      </w:r>
      <w:r w:rsidRPr="00740931">
        <w:rPr>
          <w:lang w:val="fr-CH"/>
        </w:rPr>
        <w:t>{{GEMEINDE}}</w:t>
      </w:r>
      <w:r>
        <w:rPr>
          <w:lang w:val="fr-CH"/>
        </w:rPr>
        <w:t xml:space="preserve">, raison pour laquelle </w:t>
      </w:r>
      <w:r>
        <w:rPr>
          <w:lang w:val="fr-CH" w:eastAsia="de-DE"/>
        </w:rPr>
        <w:fldChar w:fldCharType="begin">
          <w:ffData>
            <w:name w:val=""/>
            <w:enabled/>
            <w:calcOnExit w:val="0"/>
            <w:ddList>
              <w:listEntry w:val="la prétète"/>
              <w:listEntry w:val="le préfet"/>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rPr>
        <w:t xml:space="preserve"> dispose de la compétence à raison du lieu et de la matière.</w:t>
      </w:r>
    </w:p>
    <w:p w:rsidR="00F026D3" w:rsidRPr="00F026D3" w:rsidRDefault="00F026D3" w:rsidP="00682DA2">
      <w:pPr>
        <w:pStyle w:val="berschrift2"/>
        <w:rPr>
          <w:lang w:val="fr-CH"/>
        </w:rPr>
      </w:pPr>
      <w:r>
        <w:rPr>
          <w:rFonts w:cs="Arial"/>
          <w:szCs w:val="22"/>
          <w:lang w:val="fr-CH"/>
        </w:rPr>
        <w:t>Le régime du permis de construire est réglementé par le droit fédéral</w:t>
      </w:r>
      <w:r>
        <w:rPr>
          <w:rStyle w:val="Funotenzeichen"/>
          <w:rFonts w:cs="Arial"/>
          <w:szCs w:val="22"/>
          <w:lang w:val="fr-CH"/>
        </w:rPr>
        <w:footnoteReference w:id="3"/>
      </w:r>
      <w:r>
        <w:rPr>
          <w:rFonts w:cs="Arial"/>
          <w:szCs w:val="22"/>
          <w:lang w:val="fr-CH"/>
        </w:rPr>
        <w:t>, à l’article 22 de la loi sur l’aménagement du territoire, qui n’est cependant pas exhaustif. Les cantons peuvent en accroître l’étendue, mais non la restreindre</w:t>
      </w:r>
      <w:r>
        <w:rPr>
          <w:rStyle w:val="Funotenzeichen"/>
          <w:rFonts w:cs="Arial"/>
          <w:szCs w:val="22"/>
          <w:lang w:val="fr-CH"/>
        </w:rPr>
        <w:footnoteReference w:id="4"/>
      </w:r>
      <w:r>
        <w:rPr>
          <w:rFonts w:cs="Arial"/>
          <w:szCs w:val="22"/>
          <w:lang w:val="fr-CH"/>
        </w:rPr>
        <w:t xml:space="preserve">. Selon une jurisprudence constante du Tribunal fédéral, il faut entendre par constructions et installations au sens de l’article 22, alinéa 1 LAT tout au moins tous les aménagements durables crées par la main de l’homme, qui sont fixés au sol et qui ont une influence sur les affectations par le fait qu’ils modifient sensiblement l’espace extérieur, ont des effets sur l’équipement ou sont susceptibles de porter atteinte à l’environnement. Selon cette jurisprudence, ce n’est pas la modification du terrain par des mesures de construction ou par d’autres changements qui, à elle seule, est déterminante, mais bien davantage l’incidence spatiale d’un projet. Le régime du permis de construire doit permettre à l’autorité d’examiner le projet de construction, avant son exécution, du point de vue de son adéquation avec le plan d’affectation, qui est un instrument de l’aménagement du territoire, et du reste de la législation. La mesure en question est considérée comme suffisamment significative si elle entraîne, selon le cours ordinaire des choses, des conséquences telles du point de vue spatial qu’il est dans l’intérêt public </w:t>
      </w:r>
      <w:r>
        <w:rPr>
          <w:rFonts w:cs="Arial"/>
          <w:szCs w:val="22"/>
          <w:lang w:val="fr-CH"/>
        </w:rPr>
        <w:lastRenderedPageBreak/>
        <w:t>ou du voisinage qu'un contrôle préalable soit effectué. Il se peut ainsi que certains projets soient soumis à l’octroi d’un permis de construire non pas en raison de la construction qu’ils impliquent mais bien davantage en raison de leur exploitation</w:t>
      </w:r>
      <w:r>
        <w:rPr>
          <w:rStyle w:val="Funotenzeichen"/>
          <w:rFonts w:cs="Arial"/>
          <w:szCs w:val="22"/>
          <w:lang w:val="fr-CH"/>
        </w:rPr>
        <w:footnoteReference w:id="5"/>
      </w:r>
      <w:r>
        <w:rPr>
          <w:rFonts w:cs="Arial"/>
          <w:szCs w:val="22"/>
          <w:lang w:val="fr-CH"/>
        </w:rPr>
        <w:t>.</w:t>
      </w:r>
    </w:p>
    <w:p w:rsidR="00F026D3" w:rsidRPr="00F026D3" w:rsidRDefault="00F026D3" w:rsidP="00682DA2">
      <w:pPr>
        <w:pStyle w:val="berschrift2"/>
        <w:rPr>
          <w:lang w:val="fr-CH"/>
        </w:rPr>
      </w:pPr>
      <w:r>
        <w:rPr>
          <w:rFonts w:cs="Arial"/>
          <w:szCs w:val="22"/>
          <w:lang w:val="fr-CH" w:eastAsia="de-CH"/>
        </w:rPr>
        <w:t>Le canton de Berne a décrit le régime du permis de construire de manière plus détaillée en se fondant sur les prescriptions de droit fédéral</w:t>
      </w:r>
      <w:r>
        <w:rPr>
          <w:rStyle w:val="Funotenzeichen"/>
          <w:rFonts w:cs="Arial"/>
          <w:szCs w:val="22"/>
          <w:lang w:val="fr-CH" w:eastAsia="de-CH"/>
        </w:rPr>
        <w:footnoteReference w:id="6"/>
      </w:r>
      <w:r>
        <w:rPr>
          <w:rFonts w:cs="Arial"/>
          <w:szCs w:val="22"/>
          <w:lang w:val="fr-CH" w:eastAsia="de-CH"/>
        </w:rPr>
        <w:t>. Le législateur bernois a renoncé à élargir la liste des circonstances qui requièrent l’obtention d’un permis de construire selon le droit fédéral.</w:t>
      </w:r>
    </w:p>
    <w:p w:rsidR="00F026D3" w:rsidRDefault="00F026D3" w:rsidP="00682DA2">
      <w:pPr>
        <w:pStyle w:val="berschrift2"/>
        <w:rPr>
          <w:lang w:val="fr-CH"/>
        </w:rPr>
      </w:pPr>
      <w:r>
        <w:rPr>
          <w:lang w:val="fr-CH" w:eastAsia="de-CH"/>
        </w:rPr>
        <w:t>L’article 1a, alinéa 1 LC reprend la formulation du droit fédéral selon laquelle sont soumis à l’octroi d’un permis de construire toutes les constructions, toutes les installations et tous les aménagements qui sont créés artificiellement, destinés à durer, fixés au sol et susceptibles d’avoir une incidence sur l’affectation de celui-ci.</w:t>
      </w:r>
    </w:p>
    <w:p w:rsidR="00F026D3" w:rsidRPr="00F026D3" w:rsidRDefault="00F026D3" w:rsidP="00682DA2">
      <w:pPr>
        <w:pStyle w:val="berschrift2"/>
        <w:rPr>
          <w:lang w:val="fr-CH"/>
        </w:rPr>
      </w:pPr>
      <w:r>
        <w:rPr>
          <w:rFonts w:cs="Arial"/>
          <w:szCs w:val="22"/>
          <w:lang w:val="fr-CH"/>
        </w:rPr>
        <w:t>L’article 1b, alinéa 1 LC prévoit quant à lui que</w:t>
      </w:r>
      <w:r>
        <w:rPr>
          <w:rFonts w:cs="Arial"/>
          <w:szCs w:val="22"/>
          <w:lang w:val="fr-CH" w:eastAsia="de-CH"/>
        </w:rPr>
        <w:t xml:space="preserve"> l’édification de constructions et d’installations pour une courte durée et les autres projets de construction de peu d’importance ne sont pas soumis à l’octroi d’un permis de construire.</w:t>
      </w:r>
    </w:p>
    <w:p w:rsidR="00F026D3" w:rsidRPr="00F026D3" w:rsidRDefault="00F026D3" w:rsidP="00682DA2">
      <w:pPr>
        <w:pStyle w:val="berschrift2"/>
        <w:rPr>
          <w:lang w:val="fr-CH"/>
        </w:rPr>
      </w:pPr>
      <w:r>
        <w:rPr>
          <w:rFonts w:cs="Arial"/>
          <w:szCs w:val="22"/>
          <w:lang w:val="fr-CH" w:eastAsia="de-CH"/>
        </w:rPr>
        <w:t>L’article 6 DPC énumère les projets non soumis à l’octroi du permis de construire. Ne le sont pas en particulier, au sens de la loi sur les constructions, l’entretien et la modification (y compris le changement d’affectation) de constructions et d’installations, lorsque ces mesures ne touchent à aucun élément déterminant du point de vue du droit des constructions ou de la protection de l’environnement</w:t>
      </w:r>
      <w:r>
        <w:rPr>
          <w:rStyle w:val="Funotenzeichen"/>
          <w:rFonts w:cs="Arial"/>
          <w:szCs w:val="22"/>
          <w:lang w:val="fr-CH" w:eastAsia="de-CH"/>
        </w:rPr>
        <w:footnoteReference w:id="7"/>
      </w:r>
      <w:r>
        <w:rPr>
          <w:rFonts w:cs="Arial"/>
          <w:szCs w:val="22"/>
          <w:lang w:val="fr-CH" w:eastAsia="de-CH"/>
        </w:rPr>
        <w:t>. Sont également exemptées du régime du permis de construire certaines petites installations annexes</w:t>
      </w:r>
      <w:r>
        <w:rPr>
          <w:rStyle w:val="Funotenzeichen"/>
          <w:rFonts w:cs="Arial"/>
          <w:szCs w:val="22"/>
          <w:lang w:val="fr-CH" w:eastAsia="de-CH"/>
        </w:rPr>
        <w:footnoteReference w:id="8"/>
      </w:r>
      <w:r>
        <w:rPr>
          <w:rFonts w:cs="Arial"/>
          <w:szCs w:val="22"/>
          <w:lang w:val="fr-CH" w:eastAsia="de-CH"/>
        </w:rPr>
        <w:t xml:space="preserve"> ainsi que les clôtures, les murs de soutènement, les rampes obliques et les modifications de terrain à titre d’aménagement des abords d’un volume de 100 mètres cubes au plus, à condition que ces installations ne dépassent pas une hauteur de 1,20 mètre</w:t>
      </w:r>
      <w:r>
        <w:rPr>
          <w:rStyle w:val="Funotenzeichen"/>
          <w:rFonts w:cs="Arial"/>
          <w:szCs w:val="22"/>
          <w:lang w:val="fr-CH" w:eastAsia="de-CH"/>
        </w:rPr>
        <w:footnoteReference w:id="9"/>
      </w:r>
      <w:r>
        <w:rPr>
          <w:rFonts w:cs="Arial"/>
          <w:szCs w:val="22"/>
          <w:lang w:val="fr-CH" w:eastAsia="de-CH"/>
        </w:rPr>
        <w:t>. Ne sont pas non plus soumis à l’octroi du permis de construire, conformément à la clause générale de l’article 6, alinéa 2 DPC, tous les projets dont le degré d’importance est équivalent ou inférieur à celui des projets énumérés à l’alinéa 1. La DIJ (anciennement JCE) fournit en outre une aide pratique sous la forme de documents ISCB.</w:t>
      </w:r>
    </w:p>
    <w:p w:rsidR="00F026D3" w:rsidRDefault="00F026D3" w:rsidP="00682DA2">
      <w:pPr>
        <w:pStyle w:val="berschrift2"/>
        <w:rPr>
          <w:lang w:val="fr-CH"/>
        </w:rPr>
      </w:pPr>
      <w:r>
        <w:rPr>
          <w:highlight w:val="yellow"/>
          <w:lang w:val="fr-CH" w:eastAsia="de-DE"/>
        </w:rPr>
        <w:t>Eventuellement article 6a DPC (réclames routières)</w:t>
      </w:r>
    </w:p>
    <w:p w:rsidR="00F026D3" w:rsidRDefault="00F026D3" w:rsidP="00682DA2">
      <w:pPr>
        <w:pStyle w:val="berschrift2"/>
        <w:rPr>
          <w:lang w:val="fr-CH"/>
        </w:rPr>
      </w:pPr>
      <w:r>
        <w:rPr>
          <w:highlight w:val="yellow"/>
          <w:lang w:val="fr-CH" w:eastAsia="de-DE"/>
        </w:rPr>
        <w:t>Eventuellement article 7 DPC (restrictions posées à l’exemption du permis de construire)</w:t>
      </w:r>
    </w:p>
    <w:p w:rsidR="00F026D3" w:rsidRDefault="00F026D3" w:rsidP="00682DA2">
      <w:pPr>
        <w:pStyle w:val="berschrift2"/>
        <w:rPr>
          <w:lang w:val="fr-CH"/>
        </w:rPr>
      </w:pPr>
      <w:r>
        <w:rPr>
          <w:highlight w:val="yellow"/>
          <w:lang w:val="fr-CH" w:eastAsia="de-DE"/>
        </w:rPr>
        <w:t>Motifs</w:t>
      </w:r>
    </w:p>
    <w:p w:rsidR="00F026D3" w:rsidRPr="00F026D3" w:rsidRDefault="00F026D3" w:rsidP="00682DA2">
      <w:pPr>
        <w:pStyle w:val="berschrift2"/>
        <w:rPr>
          <w:lang w:val="fr-CH"/>
        </w:rPr>
      </w:pPr>
      <w:r>
        <w:rPr>
          <w:rFonts w:cs="Arial"/>
          <w:szCs w:val="22"/>
          <w:lang w:val="fr-CH" w:eastAsia="de-DE"/>
        </w:rPr>
        <w:t>Sur la base du résumé ci-dessus des bases légales relatives au régime obligatoire du permis de construire ou à l’exemption de celui-ci, il convient en l’espèce d’examiner si le projet de construction modifie considérablement l’espace extérieur et/ou porte une telle atteinte à l’environnement (ici: le voisinage) selon le cours ordinaire des choses qu’il est dans l’intérêt public ou du voisinage qu’un contrôle préalable soit effectué sous la forme d’une procédure d’octroi du permis de construire.</w:t>
      </w:r>
    </w:p>
    <w:p w:rsidR="00F026D3" w:rsidRPr="00F026D3" w:rsidRDefault="00F026D3" w:rsidP="00682DA2">
      <w:pPr>
        <w:pStyle w:val="berschrift2"/>
        <w:rPr>
          <w:lang w:val="fr-CH"/>
        </w:rPr>
      </w:pPr>
      <w:r>
        <w:rPr>
          <w:lang w:val="fr-CH"/>
        </w:rPr>
        <w:t>Les émoluments sont fixés à</w:t>
      </w:r>
      <w:r w:rsidRPr="004178A5">
        <w:rPr>
          <w:lang w:val="fr-CH"/>
        </w:rPr>
        <w:t xml:space="preserve"> CHF {{GEBUEHREN_TOTAL}}.</w:t>
      </w:r>
      <w:r>
        <w:rPr>
          <w:rStyle w:val="Funotenzeichen"/>
        </w:rPr>
        <w:footnoteReference w:id="10"/>
      </w:r>
    </w:p>
    <w:p w:rsidR="00496AC7" w:rsidRDefault="0010791D" w:rsidP="007C2791">
      <w:pPr>
        <w:pStyle w:val="berschrift1"/>
      </w:pPr>
      <w:proofErr w:type="spellStart"/>
      <w:r>
        <w:rPr>
          <w:lang w:eastAsia="de-DE"/>
        </w:rPr>
        <w:lastRenderedPageBreak/>
        <w:t>Décision</w:t>
      </w:r>
      <w:proofErr w:type="spellEnd"/>
    </w:p>
    <w:p w:rsidR="00F92689" w:rsidRPr="00F026D3" w:rsidRDefault="00F026D3" w:rsidP="00682DA2">
      <w:pPr>
        <w:pStyle w:val="berschrift2"/>
        <w:rPr>
          <w:lang w:val="fr-CH"/>
        </w:rPr>
      </w:pPr>
      <w:r>
        <w:rPr>
          <w:rFonts w:cs="Arial"/>
          <w:bCs w:val="0"/>
          <w:iCs/>
          <w:szCs w:val="22"/>
          <w:lang w:val="fr-CH" w:eastAsia="de-DE"/>
        </w:rPr>
        <w:t xml:space="preserve">Le projet de construction prévu sur la parcelle </w:t>
      </w:r>
      <w:r>
        <w:rPr>
          <w:lang w:val="fr-CH"/>
        </w:rPr>
        <w:t>n</w:t>
      </w:r>
      <w:r w:rsidRPr="00C94C10">
        <w:rPr>
          <w:vertAlign w:val="superscript"/>
          <w:lang w:val="fr-CH"/>
        </w:rPr>
        <w:t>o</w:t>
      </w:r>
      <w:r w:rsidRPr="00AE0CC4">
        <w:rPr>
          <w:lang w:val="fr-CH"/>
        </w:rPr>
        <w:t xml:space="preserve"> </w:t>
      </w:r>
      <w:r w:rsidRPr="004178A5">
        <w:rPr>
          <w:lang w:val="fr-CH"/>
        </w:rPr>
        <w:t>{{PARZELLE}}</w:t>
      </w:r>
      <w:r>
        <w:rPr>
          <w:rFonts w:cs="Arial"/>
          <w:bCs w:val="0"/>
          <w:iCs/>
          <w:szCs w:val="22"/>
          <w:lang w:val="fr-CH" w:eastAsia="de-DE"/>
        </w:rPr>
        <w:t xml:space="preserve"> </w:t>
      </w:r>
      <w:r>
        <w:rPr>
          <w:lang w:val="fr-CH" w:eastAsia="de-DE"/>
        </w:rPr>
        <w:fldChar w:fldCharType="begin">
          <w:ffData>
            <w:name w:val=""/>
            <w:enabled/>
            <w:calcOnExit w:val="0"/>
            <w:ddList>
              <w:listEntry w:val="requiert un permis de construir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eastAsia="de-DE"/>
        </w:rPr>
        <w:fldChar w:fldCharType="begin">
          <w:ffData>
            <w:name w:val=""/>
            <w:enabled/>
            <w:calcOnExit w:val="0"/>
            <w:ddList>
              <w:listEntry w:val="n’est pas soumis à l’octroi d’un permis de constru"/>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sidRPr="004178A5">
        <w:rPr>
          <w:rFonts w:cs="Arial"/>
          <w:szCs w:val="22"/>
          <w:lang w:val="fr-CH" w:eastAsia="de-DE"/>
        </w:rPr>
        <w:t>.</w:t>
      </w:r>
    </w:p>
    <w:p w:rsidR="00F026D3" w:rsidRDefault="00F026D3" w:rsidP="00682DA2">
      <w:pPr>
        <w:pStyle w:val="berschrift2"/>
        <w:rPr>
          <w:lang w:val="fr-CH"/>
        </w:rPr>
      </w:pPr>
      <w:r>
        <w:rPr>
          <w:lang w:val="fr-CH"/>
        </w:rPr>
        <w:t xml:space="preserve">Les émoluments d’un montant de </w:t>
      </w:r>
      <w:r w:rsidRPr="004178A5">
        <w:rPr>
          <w:lang w:val="fr-CH"/>
        </w:rPr>
        <w:t>CHF {{GEBUEHREN_TOTAL}}</w:t>
      </w:r>
      <w:r>
        <w:rPr>
          <w:lang w:val="fr-CH"/>
        </w:rPr>
        <w:t xml:space="preserve"> sont mis à la charge du maître d’ouvrage. La facture sera envoyée par courrier séparé.</w:t>
      </w:r>
    </w:p>
    <w:p w:rsidR="00F026D3" w:rsidRDefault="00F026D3" w:rsidP="00682DA2">
      <w:pPr>
        <w:pStyle w:val="berschrift2"/>
        <w:rPr>
          <w:lang w:val="fr-CH"/>
        </w:rPr>
      </w:pPr>
      <w:r>
        <w:rPr>
          <w:lang w:val="fr-CH" w:eastAsia="de-DE"/>
        </w:rPr>
        <w:fldChar w:fldCharType="begin">
          <w:ffData>
            <w:name w:val=""/>
            <w:enabled/>
            <w:calcOnExit w:val="0"/>
            <w:ddList>
              <w:listEntry w:val="(Disposition annex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p>
    <w:p w:rsidR="00F026D3" w:rsidRDefault="00F026D3" w:rsidP="00682DA2">
      <w:pPr>
        <w:pStyle w:val="berschrift2"/>
        <w:rPr>
          <w:lang w:val="fr-CH"/>
        </w:rPr>
      </w:pPr>
      <w:r>
        <w:rPr>
          <w:lang w:val="fr-CH" w:eastAsia="de-DE"/>
        </w:rPr>
        <w:t>Remarques</w:t>
      </w:r>
    </w:p>
    <w:p w:rsidR="00F026D3" w:rsidRPr="00F026D3" w:rsidRDefault="00F026D3" w:rsidP="00682DA2">
      <w:pPr>
        <w:pStyle w:val="berschrift2"/>
        <w:rPr>
          <w:lang w:val="fr-CH"/>
        </w:rPr>
      </w:pPr>
      <w:proofErr w:type="spellStart"/>
      <w:r>
        <w:rPr>
          <w:lang w:eastAsia="de-DE"/>
        </w:rPr>
        <w:t>Notification</w:t>
      </w:r>
      <w:proofErr w:type="spellEnd"/>
      <w:r>
        <w:rPr>
          <w:lang w:eastAsia="de-DE"/>
        </w:rPr>
        <w:t xml:space="preserve"> (</w:t>
      </w:r>
      <w:bookmarkStart w:id="0" w:name="__Fieldmark__6152_2683688292"/>
      <w:proofErr w:type="spellStart"/>
      <w:r>
        <w:rPr>
          <w:lang w:eastAsia="de-DE"/>
        </w:rPr>
        <w:t>c</w:t>
      </w:r>
      <w:bookmarkEnd w:id="0"/>
      <w:r>
        <w:rPr>
          <w:lang w:eastAsia="de-DE"/>
        </w:rPr>
        <w:t>ourrier</w:t>
      </w:r>
      <w:proofErr w:type="spellEnd"/>
      <w:r>
        <w:rPr>
          <w:lang w:eastAsia="de-DE"/>
        </w:rPr>
        <w:t xml:space="preserve"> </w:t>
      </w:r>
      <w:proofErr w:type="spellStart"/>
      <w:r>
        <w:rPr>
          <w:lang w:eastAsia="de-DE"/>
        </w:rPr>
        <w:t>recommandé</w:t>
      </w:r>
      <w:proofErr w:type="spellEnd"/>
      <w:r>
        <w:rPr>
          <w:lang w:eastAsia="de-DE"/>
        </w:rPr>
        <w:t>)</w:t>
      </w:r>
    </w:p>
    <w:p w:rsidR="00F026D3" w:rsidRDefault="00F026D3" w:rsidP="00F026D3">
      <w:pPr>
        <w:pStyle w:val="AufzhlungVerfgung"/>
        <w:numPr>
          <w:ilvl w:val="0"/>
          <w:numId w:val="8"/>
        </w:numPr>
        <w:spacing w:line="280" w:lineRule="atLeast"/>
        <w:rPr>
          <w:lang w:eastAsia="de-DE"/>
        </w:rPr>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r>
        <w:t xml:space="preserve"> {{ALLE_GESUCHSTELLER_NAME_ADRESSE | </w:t>
      </w:r>
      <w:proofErr w:type="spellStart"/>
      <w:r>
        <w:t>multiline</w:t>
      </w:r>
      <w:proofErr w:type="spellEnd"/>
      <w:r>
        <w:t>}}</w:t>
      </w:r>
    </w:p>
    <w:p w:rsidR="00F026D3" w:rsidRPr="00F026D3" w:rsidRDefault="00F026D3" w:rsidP="00F026D3">
      <w:pPr>
        <w:pStyle w:val="AufzhlungVerfgung"/>
        <w:rPr>
          <w:lang w:val="fr-CH"/>
        </w:rPr>
      </w:pPr>
      <w:r>
        <w:rPr>
          <w:lang w:eastAsia="de-DE"/>
        </w:rPr>
        <w:t>{{GEMEINDE_NAME_ADRESSE}}</w:t>
      </w:r>
      <w:bookmarkStart w:id="1" w:name="_GoBack"/>
      <w:bookmarkEnd w:id="1"/>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Pr="00F026D3" w:rsidRDefault="0010791D" w:rsidP="00000B2C">
            <w:pPr>
              <w:pStyle w:val="KeinLeerraum"/>
              <w:keepNext/>
              <w:keepLines/>
              <w:rPr>
                <w:lang w:val="fr-CH"/>
              </w:rPr>
            </w:pPr>
            <w:r w:rsidRPr="00F026D3">
              <w:rPr>
                <w:lang w:val="fr-CH"/>
              </w:rPr>
              <w:t>Préfecture du/de</w:t>
            </w:r>
          </w:p>
          <w:p w:rsidR="00496AC7" w:rsidRPr="00F026D3" w:rsidRDefault="00000B2C" w:rsidP="00000B2C">
            <w:pPr>
              <w:pStyle w:val="KeinLeerraum"/>
              <w:keepNext/>
              <w:keepLines/>
              <w:rPr>
                <w:lang w:val="fr-CH"/>
              </w:rPr>
            </w:pPr>
            <w:r w:rsidRPr="00F026D3">
              <w:rPr>
                <w:lang w:val="fr-CH"/>
              </w:rPr>
              <w:t>{{MEINE_ORGANISATION_NAME_KURZ}}</w:t>
            </w:r>
          </w:p>
          <w:p w:rsidR="00496AC7" w:rsidRPr="00F026D3" w:rsidRDefault="00496AC7" w:rsidP="00F92689">
            <w:pPr>
              <w:pStyle w:val="KeinLeerraum"/>
              <w:keepNext/>
              <w:keepLines/>
              <w:rPr>
                <w:lang w:val="fr-CH"/>
              </w:rPr>
            </w:pPr>
          </w:p>
          <w:p w:rsidR="00496AC7" w:rsidRPr="00F026D3" w:rsidRDefault="00496AC7" w:rsidP="00F92689">
            <w:pPr>
              <w:pStyle w:val="KeinLeerraum"/>
              <w:keepNext/>
              <w:keepLines/>
              <w:rPr>
                <w:lang w:val="fr-CH"/>
              </w:rPr>
            </w:pPr>
          </w:p>
          <w:p w:rsidR="00496AC7" w:rsidRPr="00F026D3" w:rsidRDefault="00496AC7" w:rsidP="00F92689">
            <w:pPr>
              <w:pStyle w:val="KeinLeerraum"/>
              <w:keepNext/>
              <w:keepLines/>
              <w:rPr>
                <w:lang w:val="fr-CH"/>
              </w:rPr>
            </w:pPr>
          </w:p>
          <w:p w:rsidR="00496AC7" w:rsidRPr="00F026D3" w:rsidRDefault="00496AC7" w:rsidP="00F92689">
            <w:pPr>
              <w:pStyle w:val="KeinLeerraum"/>
              <w:keepNext/>
              <w:keepLines/>
              <w:rPr>
                <w:lang w:val="fr-CH"/>
              </w:rPr>
            </w:pPr>
          </w:p>
          <w:p w:rsidR="0010791D" w:rsidRDefault="0010791D" w:rsidP="0010791D">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F026D3">
              <w:rPr>
                <w:lang w:val="fr-CH" w:eastAsia="de-DE"/>
              </w:rPr>
            </w:r>
            <w:r w:rsidR="00F026D3">
              <w:rPr>
                <w:lang w:val="fr-CH" w:eastAsia="de-DE"/>
              </w:rPr>
              <w:fldChar w:fldCharType="separate"/>
            </w:r>
            <w:r w:rsidRPr="00AE0CC4">
              <w:rPr>
                <w:lang w:val="fr-CH" w:eastAsia="de-DE"/>
              </w:rPr>
              <w:fldChar w:fldCharType="end"/>
            </w:r>
          </w:p>
          <w:p w:rsidR="00496AC7" w:rsidRDefault="0010791D" w:rsidP="0010791D">
            <w:pPr>
              <w:pStyle w:val="KeinLeerraum"/>
              <w:keepNext/>
              <w:keepLines/>
            </w:pPr>
            <w:r>
              <w:rPr>
                <w:lang w:val="fr-CH" w:eastAsia="de-DE"/>
              </w:rPr>
              <w:fldChar w:fldCharType="begin">
                <w:ffData>
                  <w:name w:val=""/>
                  <w:enabled/>
                  <w:calcOnExit w:val="0"/>
                  <w:ddList>
                    <w:listEntry w:val="préfète"/>
                  </w:ddList>
                </w:ffData>
              </w:fldChar>
            </w:r>
            <w:r>
              <w:rPr>
                <w:lang w:val="fr-CH" w:eastAsia="de-DE"/>
              </w:rPr>
              <w:instrText xml:space="preserve"> FORMDROPDOWN </w:instrText>
            </w:r>
            <w:r w:rsidR="00F026D3">
              <w:rPr>
                <w:lang w:val="fr-CH" w:eastAsia="de-DE"/>
              </w:rPr>
            </w:r>
            <w:r w:rsidR="00F026D3">
              <w:rPr>
                <w:lang w:val="fr-CH" w:eastAsia="de-DE"/>
              </w:rPr>
              <w:fldChar w:fldCharType="separate"/>
            </w:r>
            <w:r>
              <w:rPr>
                <w:lang w:val="fr-CH" w:eastAsia="de-DE"/>
              </w:rPr>
              <w:fldChar w:fldCharType="end"/>
            </w:r>
          </w:p>
        </w:tc>
      </w:tr>
    </w:tbl>
    <w:p w:rsidR="00496AC7" w:rsidRDefault="00496AC7" w:rsidP="00496AC7">
      <w:pPr>
        <w:pStyle w:val="KeinLeerraum"/>
      </w:pPr>
    </w:p>
    <w:p w:rsidR="00496AC7" w:rsidRPr="00B70428" w:rsidRDefault="0010791D" w:rsidP="00F92689">
      <w:pPr>
        <w:pStyle w:val="RM-Belehrungberschrift"/>
        <w:rPr>
          <w:lang w:val="fr-CH"/>
        </w:rPr>
      </w:pPr>
      <w:r>
        <w:rPr>
          <w:lang w:val="fr-CH"/>
        </w:rPr>
        <w:t>Voies de recours</w:t>
      </w:r>
    </w:p>
    <w:p w:rsidR="00496AC7" w:rsidRPr="0010791D" w:rsidRDefault="0010791D" w:rsidP="00000B2C">
      <w:pPr>
        <w:pStyle w:val="RM-BelehrungText"/>
        <w:rPr>
          <w:lang w:val="fr-CH"/>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496AC7" w:rsidRPr="0010791D"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F026D3">
                            <w:t>3</w:t>
                          </w:r>
                          <w:r w:rsidRPr="00495178">
                            <w:fldChar w:fldCharType="end"/>
                          </w:r>
                          <w:r w:rsidRPr="00495178">
                            <w:t>/</w:t>
                          </w:r>
                          <w:r w:rsidR="00F026D3">
                            <w:fldChar w:fldCharType="begin"/>
                          </w:r>
                          <w:r w:rsidR="00F026D3">
                            <w:instrText xml:space="preserve"> NUMPAGES   \* MERGEFORMAT </w:instrText>
                          </w:r>
                          <w:r w:rsidR="00F026D3">
                            <w:fldChar w:fldCharType="separate"/>
                          </w:r>
                          <w:r w:rsidR="00F026D3">
                            <w:t>3</w:t>
                          </w:r>
                          <w:r w:rsidR="00F026D3">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F026D3">
                      <w:t>3</w:t>
                    </w:r>
                    <w:r w:rsidRPr="00495178">
                      <w:fldChar w:fldCharType="end"/>
                    </w:r>
                    <w:r w:rsidRPr="00495178">
                      <w:t>/</w:t>
                    </w:r>
                    <w:r w:rsidR="00F026D3">
                      <w:fldChar w:fldCharType="begin"/>
                    </w:r>
                    <w:r w:rsidR="00F026D3">
                      <w:instrText xml:space="preserve"> NUMPAGES   \* MERGEFORMAT </w:instrText>
                    </w:r>
                    <w:r w:rsidR="00F026D3">
                      <w:fldChar w:fldCharType="separate"/>
                    </w:r>
                    <w:r w:rsidR="00F026D3">
                      <w:t>3</w:t>
                    </w:r>
                    <w:r w:rsidR="00F026D3">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F026D3" w:rsidRPr="00905692" w:rsidRDefault="00F026D3" w:rsidP="00F026D3">
      <w:pPr>
        <w:pStyle w:val="Funotentext"/>
        <w:rPr>
          <w:lang w:val="fr-CH"/>
        </w:rPr>
      </w:pPr>
      <w:r>
        <w:rPr>
          <w:rStyle w:val="Funotenzeichen"/>
        </w:rPr>
        <w:footnoteRef/>
      </w:r>
      <w:r w:rsidRPr="00905692">
        <w:rPr>
          <w:lang w:val="fr-CH"/>
        </w:rPr>
        <w:t xml:space="preserve"> </w:t>
      </w:r>
      <w:r w:rsidRPr="00905692">
        <w:rPr>
          <w:lang w:val="fr-CH"/>
        </w:rPr>
        <w:tab/>
      </w:r>
      <w:r>
        <w:rPr>
          <w:lang w:val="fr-CH"/>
        </w:rPr>
        <w:t>Article 48, alinéa 2 du décret du 22 mars 1994 concernant la procédure d’octroi du permis de construire</w:t>
      </w:r>
      <w:r>
        <w:rPr>
          <w:szCs w:val="16"/>
          <w:lang w:val="fr-CH"/>
        </w:rPr>
        <w:t xml:space="preserve"> (DPC; RSB 725.1).</w:t>
      </w:r>
    </w:p>
  </w:footnote>
  <w:footnote w:id="2">
    <w:p w:rsidR="00F026D3" w:rsidRPr="00740931" w:rsidRDefault="00F026D3" w:rsidP="00F026D3">
      <w:pPr>
        <w:pStyle w:val="Funotentext"/>
        <w:rPr>
          <w:lang w:val="fr-CH"/>
        </w:rPr>
      </w:pPr>
      <w:r>
        <w:rPr>
          <w:rStyle w:val="Funotenzeichen"/>
        </w:rPr>
        <w:footnoteRef/>
      </w:r>
      <w:r w:rsidRPr="00740931">
        <w:rPr>
          <w:lang w:val="fr-CH"/>
        </w:rPr>
        <w:t xml:space="preserve"> </w:t>
      </w:r>
      <w:r>
        <w:rPr>
          <w:lang w:val="fr-CH"/>
        </w:rPr>
        <w:tab/>
      </w:r>
      <w:r>
        <w:rPr>
          <w:szCs w:val="16"/>
          <w:lang w:val="fr-CH"/>
        </w:rPr>
        <w:t>Article 48 DPC.</w:t>
      </w:r>
    </w:p>
  </w:footnote>
  <w:footnote w:id="3">
    <w:p w:rsidR="00F026D3" w:rsidRPr="00540BE0" w:rsidRDefault="00F026D3" w:rsidP="00F026D3">
      <w:pPr>
        <w:pStyle w:val="Funotentext"/>
        <w:rPr>
          <w:lang w:val="fr-CH"/>
        </w:rPr>
      </w:pPr>
      <w:r>
        <w:rPr>
          <w:rStyle w:val="Funotenzeichen"/>
        </w:rPr>
        <w:footnoteRef/>
      </w:r>
      <w:r w:rsidRPr="00540BE0">
        <w:rPr>
          <w:lang w:val="fr-CH"/>
        </w:rPr>
        <w:t xml:space="preserve"> </w:t>
      </w:r>
      <w:r>
        <w:rPr>
          <w:lang w:val="fr-CH"/>
        </w:rPr>
        <w:tab/>
        <w:t>Article 22, alinéa 1 de la loi fédérale du 22 juin 1979 sur l’aménagement du territoire (LAT; RS 700).</w:t>
      </w:r>
    </w:p>
  </w:footnote>
  <w:footnote w:id="4">
    <w:p w:rsidR="00F026D3" w:rsidRPr="00540BE0" w:rsidRDefault="00F026D3" w:rsidP="00F026D3">
      <w:pPr>
        <w:pStyle w:val="Funotentext"/>
        <w:rPr>
          <w:lang w:val="fr-CH"/>
        </w:rPr>
      </w:pPr>
      <w:r>
        <w:rPr>
          <w:rStyle w:val="Funotenzeichen"/>
        </w:rPr>
        <w:footnoteRef/>
      </w:r>
      <w:r w:rsidRPr="00540BE0">
        <w:rPr>
          <w:lang w:val="fr-CH"/>
        </w:rPr>
        <w:t xml:space="preserve"> </w:t>
      </w:r>
      <w:r>
        <w:rPr>
          <w:lang w:val="fr-CH"/>
        </w:rPr>
        <w:tab/>
      </w:r>
      <w:proofErr w:type="spellStart"/>
      <w:r>
        <w:rPr>
          <w:rFonts w:cs="Arial"/>
          <w:szCs w:val="22"/>
          <w:lang w:val="fr-CH"/>
        </w:rPr>
        <w:t>Waldmann</w:t>
      </w:r>
      <w:proofErr w:type="spellEnd"/>
      <w:r>
        <w:rPr>
          <w:rFonts w:cs="Arial"/>
          <w:szCs w:val="22"/>
          <w:lang w:val="fr-CH"/>
        </w:rPr>
        <w:t xml:space="preserve">/Hänni, </w:t>
      </w:r>
      <w:proofErr w:type="spellStart"/>
      <w:r>
        <w:rPr>
          <w:rFonts w:cs="Arial"/>
          <w:szCs w:val="22"/>
          <w:lang w:val="fr-CH"/>
        </w:rPr>
        <w:t>Handkommentar</w:t>
      </w:r>
      <w:proofErr w:type="spellEnd"/>
      <w:r>
        <w:rPr>
          <w:rFonts w:cs="Arial"/>
          <w:szCs w:val="22"/>
          <w:lang w:val="fr-CH"/>
        </w:rPr>
        <w:t>, RPG, 2006, note 13 ad article 22 LAT.</w:t>
      </w:r>
    </w:p>
  </w:footnote>
  <w:footnote w:id="5">
    <w:p w:rsidR="00F026D3" w:rsidRPr="00540BE0" w:rsidRDefault="00F026D3" w:rsidP="00F026D3">
      <w:pPr>
        <w:pStyle w:val="Funotentext"/>
        <w:rPr>
          <w:lang w:val="fr-CH"/>
        </w:rPr>
      </w:pPr>
      <w:r>
        <w:rPr>
          <w:rStyle w:val="Funotenzeichen"/>
        </w:rPr>
        <w:footnoteRef/>
      </w:r>
      <w:r w:rsidRPr="00540BE0">
        <w:rPr>
          <w:lang w:val="fr-CH"/>
        </w:rPr>
        <w:t xml:space="preserve"> </w:t>
      </w:r>
      <w:r>
        <w:rPr>
          <w:lang w:val="fr-CH"/>
        </w:rPr>
        <w:tab/>
      </w:r>
      <w:proofErr w:type="spellStart"/>
      <w:r>
        <w:rPr>
          <w:rFonts w:cs="Arial"/>
          <w:szCs w:val="22"/>
          <w:lang w:val="fr-CH"/>
        </w:rPr>
        <w:t>Waldmann</w:t>
      </w:r>
      <w:proofErr w:type="spellEnd"/>
      <w:r>
        <w:rPr>
          <w:rFonts w:cs="Arial"/>
          <w:szCs w:val="22"/>
          <w:lang w:val="fr-CH"/>
        </w:rPr>
        <w:t>/Hänni, note 10 ad article 22 LAT.</w:t>
      </w:r>
    </w:p>
  </w:footnote>
  <w:footnote w:id="6">
    <w:p w:rsidR="00F026D3" w:rsidRPr="00540BE0" w:rsidRDefault="00F026D3" w:rsidP="00F026D3">
      <w:pPr>
        <w:pStyle w:val="Funotentext"/>
        <w:rPr>
          <w:lang w:val="fr-CH"/>
        </w:rPr>
      </w:pPr>
      <w:r>
        <w:rPr>
          <w:rStyle w:val="Funotenzeichen"/>
        </w:rPr>
        <w:footnoteRef/>
      </w:r>
      <w:r w:rsidRPr="00540BE0">
        <w:rPr>
          <w:lang w:val="fr-CH"/>
        </w:rPr>
        <w:t xml:space="preserve"> </w:t>
      </w:r>
      <w:r>
        <w:rPr>
          <w:lang w:val="fr-CH"/>
        </w:rPr>
        <w:tab/>
        <w:t>Articles 1a et 1b de la loi du 9 juin 1985 sur les constructions (LC ; RSB; BSG 721) et article 4 DPC.</w:t>
      </w:r>
    </w:p>
  </w:footnote>
  <w:footnote w:id="7">
    <w:p w:rsidR="00F026D3" w:rsidRPr="00540BE0" w:rsidRDefault="00F026D3" w:rsidP="00F026D3">
      <w:pPr>
        <w:pStyle w:val="Funotentext"/>
        <w:rPr>
          <w:lang w:val="fr-CH"/>
        </w:rPr>
      </w:pPr>
      <w:r>
        <w:rPr>
          <w:rStyle w:val="Funotenzeichen"/>
        </w:rPr>
        <w:footnoteRef/>
      </w:r>
      <w:r w:rsidRPr="00540BE0">
        <w:rPr>
          <w:lang w:val="fr-CH"/>
        </w:rPr>
        <w:t xml:space="preserve"> </w:t>
      </w:r>
      <w:r>
        <w:rPr>
          <w:lang w:val="fr-CH"/>
        </w:rPr>
        <w:tab/>
      </w:r>
      <w:r>
        <w:rPr>
          <w:rFonts w:cs="Arial"/>
          <w:szCs w:val="22"/>
          <w:lang w:val="fr-CH"/>
        </w:rPr>
        <w:t xml:space="preserve">Article 6, alinéa 1, lettre </w:t>
      </w:r>
      <w:r>
        <w:rPr>
          <w:rFonts w:cs="Arial"/>
          <w:i/>
          <w:szCs w:val="22"/>
          <w:lang w:val="fr-CH"/>
        </w:rPr>
        <w:t xml:space="preserve">c </w:t>
      </w:r>
      <w:r>
        <w:rPr>
          <w:rFonts w:cs="Arial"/>
          <w:szCs w:val="22"/>
          <w:lang w:val="fr-CH"/>
        </w:rPr>
        <w:t>DPC</w:t>
      </w:r>
      <w:r>
        <w:rPr>
          <w:rFonts w:cs="Arial"/>
          <w:szCs w:val="22"/>
          <w:lang w:val="fr-CH" w:eastAsia="de-CH"/>
        </w:rPr>
        <w:t xml:space="preserve">; Aldo Zaugg/Peter Ludwig, </w:t>
      </w:r>
      <w:proofErr w:type="spellStart"/>
      <w:r>
        <w:rPr>
          <w:rFonts w:cs="Arial"/>
          <w:szCs w:val="22"/>
          <w:lang w:val="fr-CH" w:eastAsia="de-CH"/>
        </w:rPr>
        <w:t>Kommentar</w:t>
      </w:r>
      <w:proofErr w:type="spellEnd"/>
      <w:r>
        <w:rPr>
          <w:rFonts w:cs="Arial"/>
          <w:szCs w:val="22"/>
          <w:lang w:val="fr-CH" w:eastAsia="de-CH"/>
        </w:rPr>
        <w:t xml:space="preserve"> </w:t>
      </w:r>
      <w:proofErr w:type="spellStart"/>
      <w:r>
        <w:rPr>
          <w:rFonts w:cs="Arial"/>
          <w:szCs w:val="22"/>
          <w:lang w:val="fr-CH" w:eastAsia="de-CH"/>
        </w:rPr>
        <w:t>zum</w:t>
      </w:r>
      <w:proofErr w:type="spellEnd"/>
      <w:r>
        <w:rPr>
          <w:rFonts w:cs="Arial"/>
          <w:szCs w:val="22"/>
          <w:lang w:val="fr-CH" w:eastAsia="de-CH"/>
        </w:rPr>
        <w:t xml:space="preserve"> </w:t>
      </w:r>
      <w:proofErr w:type="spellStart"/>
      <w:r>
        <w:rPr>
          <w:rFonts w:cs="Arial"/>
          <w:szCs w:val="22"/>
          <w:lang w:val="fr-CH" w:eastAsia="de-CH"/>
        </w:rPr>
        <w:t>Baugesetz</w:t>
      </w:r>
      <w:proofErr w:type="spellEnd"/>
      <w:r>
        <w:rPr>
          <w:rFonts w:cs="Arial"/>
          <w:szCs w:val="22"/>
          <w:lang w:val="fr-CH" w:eastAsia="de-CH"/>
        </w:rPr>
        <w:t xml:space="preserve"> des </w:t>
      </w:r>
      <w:proofErr w:type="spellStart"/>
      <w:r>
        <w:rPr>
          <w:rFonts w:cs="Arial"/>
          <w:szCs w:val="22"/>
          <w:lang w:val="fr-CH" w:eastAsia="de-CH"/>
        </w:rPr>
        <w:t>Kantons</w:t>
      </w:r>
      <w:proofErr w:type="spellEnd"/>
      <w:r>
        <w:rPr>
          <w:rFonts w:cs="Arial"/>
          <w:szCs w:val="22"/>
          <w:lang w:val="fr-CH" w:eastAsia="de-CH"/>
        </w:rPr>
        <w:t xml:space="preserve"> Bern, 4</w:t>
      </w:r>
      <w:r>
        <w:rPr>
          <w:rFonts w:cs="Arial"/>
          <w:szCs w:val="22"/>
          <w:vertAlign w:val="superscript"/>
          <w:lang w:val="fr-CH" w:eastAsia="de-CH"/>
        </w:rPr>
        <w:t>e</w:t>
      </w:r>
      <w:r>
        <w:rPr>
          <w:rFonts w:cs="Arial"/>
          <w:szCs w:val="22"/>
          <w:lang w:val="fr-CH" w:eastAsia="de-CH"/>
        </w:rPr>
        <w:t xml:space="preserve"> édition, volume I, Berne 2013, note 8 ad article 1b.</w:t>
      </w:r>
    </w:p>
  </w:footnote>
  <w:footnote w:id="8">
    <w:p w:rsidR="00F026D3" w:rsidRPr="00540BE0" w:rsidRDefault="00F026D3" w:rsidP="00F026D3">
      <w:pPr>
        <w:pStyle w:val="Funotentext"/>
        <w:rPr>
          <w:lang w:val="fr-CH"/>
        </w:rPr>
      </w:pPr>
      <w:r>
        <w:rPr>
          <w:rStyle w:val="Funotenzeichen"/>
        </w:rPr>
        <w:footnoteRef/>
      </w:r>
      <w:r w:rsidRPr="00540BE0">
        <w:rPr>
          <w:lang w:val="fr-CH"/>
        </w:rPr>
        <w:t xml:space="preserve"> </w:t>
      </w:r>
      <w:r>
        <w:rPr>
          <w:lang w:val="fr-CH"/>
        </w:rPr>
        <w:tab/>
        <w:t xml:space="preserve">Article 6, alinéa 1, lettre </w:t>
      </w:r>
      <w:proofErr w:type="spellStart"/>
      <w:r>
        <w:rPr>
          <w:i/>
          <w:lang w:val="fr-CH"/>
        </w:rPr>
        <w:t>a</w:t>
      </w:r>
      <w:proofErr w:type="spellEnd"/>
      <w:r>
        <w:rPr>
          <w:i/>
          <w:lang w:val="fr-CH"/>
        </w:rPr>
        <w:t xml:space="preserve"> </w:t>
      </w:r>
      <w:r>
        <w:rPr>
          <w:lang w:val="fr-CH"/>
        </w:rPr>
        <w:t>DPC.</w:t>
      </w:r>
    </w:p>
  </w:footnote>
  <w:footnote w:id="9">
    <w:p w:rsidR="00F026D3" w:rsidRPr="00540BE0" w:rsidRDefault="00F026D3" w:rsidP="00F026D3">
      <w:pPr>
        <w:pStyle w:val="Funotentext"/>
        <w:rPr>
          <w:lang w:val="fr-CH"/>
        </w:rPr>
      </w:pPr>
      <w:r>
        <w:rPr>
          <w:rStyle w:val="Funotenzeichen"/>
        </w:rPr>
        <w:footnoteRef/>
      </w:r>
      <w:r w:rsidRPr="00540BE0">
        <w:rPr>
          <w:lang w:val="fr-CH"/>
        </w:rPr>
        <w:t xml:space="preserve"> </w:t>
      </w:r>
      <w:r>
        <w:rPr>
          <w:lang w:val="fr-CH"/>
        </w:rPr>
        <w:tab/>
      </w:r>
      <w:r>
        <w:rPr>
          <w:rFonts w:cs="Arial"/>
          <w:szCs w:val="22"/>
          <w:lang w:val="fr-CH" w:eastAsia="de-CH"/>
        </w:rPr>
        <w:t xml:space="preserve">Article 6, alinéa 1, lettre </w:t>
      </w:r>
      <w:r>
        <w:rPr>
          <w:rFonts w:cs="Arial"/>
          <w:i/>
          <w:szCs w:val="22"/>
          <w:lang w:val="fr-CH" w:eastAsia="de-CH"/>
        </w:rPr>
        <w:t xml:space="preserve">i </w:t>
      </w:r>
      <w:r>
        <w:rPr>
          <w:rFonts w:cs="Arial"/>
          <w:szCs w:val="22"/>
          <w:lang w:val="fr-CH" w:eastAsia="de-CH"/>
        </w:rPr>
        <w:t>DPC.</w:t>
      </w:r>
    </w:p>
  </w:footnote>
  <w:footnote w:id="10">
    <w:p w:rsidR="00F026D3" w:rsidRPr="004178A5" w:rsidRDefault="00F026D3" w:rsidP="00F026D3">
      <w:pPr>
        <w:pStyle w:val="Funotentext"/>
        <w:rPr>
          <w:lang w:val="fr-CH"/>
        </w:rPr>
      </w:pPr>
      <w:r>
        <w:rPr>
          <w:rStyle w:val="Funotenzeichen"/>
        </w:rPr>
        <w:footnoteRef/>
      </w:r>
      <w:r w:rsidRPr="004178A5">
        <w:rPr>
          <w:lang w:val="fr-CH"/>
        </w:rPr>
        <w:t xml:space="preserve"> </w:t>
      </w:r>
      <w:r>
        <w:rPr>
          <w:lang w:val="fr-CH"/>
        </w:rPr>
        <w:t>Article 8 de l’ordonnance cantonale du 22 février 1995 sur les émoluments (</w:t>
      </w:r>
      <w:proofErr w:type="spellStart"/>
      <w:r>
        <w:rPr>
          <w:lang w:val="fr-CH"/>
        </w:rPr>
        <w:t>OEmo</w:t>
      </w:r>
      <w:proofErr w:type="spellEnd"/>
      <w:r>
        <w:rPr>
          <w:lang w:val="fr-CH"/>
        </w:rPr>
        <w:t>; RSB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0791D"/>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0428"/>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026D3"/>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9F38192"/>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1"/>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9"/>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3F9B4-2F4F-4858-ABE2-8CC08F86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3</Pages>
  <Words>865</Words>
  <Characters>5456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16</cp:revision>
  <dcterms:created xsi:type="dcterms:W3CDTF">2021-03-29T08:32:00Z</dcterms:created>
  <dcterms:modified xsi:type="dcterms:W3CDTF">2021-11-18T09:58:00Z</dcterms:modified>
</cp:coreProperties>
</file>