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905692">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740931" w:rsidRDefault="00274F90" w:rsidP="00DD6033">
      <w:pPr>
        <w:pStyle w:val="BetreffTitel"/>
        <w:rPr>
          <w:rStyle w:val="Platzhaltertext"/>
          <w:color w:val="auto"/>
          <w:lang w:val="fr-CH"/>
        </w:rPr>
      </w:pPr>
      <w:r w:rsidRPr="00274F90">
        <w:rPr>
          <w:lang w:val="fr-CH" w:eastAsia="de-DE"/>
        </w:rPr>
        <w:t>Décision de radiation</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740931" w:rsidP="00740931">
            <w:pPr>
              <w:rPr>
                <w:lang w:eastAsia="de-DE"/>
              </w:rPr>
            </w:pPr>
            <w:r>
              <w:rPr>
                <w:lang w:val="fr-CH" w:eastAsia="de-DE"/>
              </w:rPr>
              <w:t>Maître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883878">
              <w:rPr>
                <w:lang w:val="fr-CH" w:eastAsia="de-DE"/>
              </w:rPr>
            </w:r>
            <w:r w:rsidR="00883878">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883878">
              <w:rPr>
                <w:lang w:val="fr-CH" w:eastAsia="de-DE"/>
              </w:rPr>
            </w:r>
            <w:r w:rsidR="00883878">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883878">
              <w:rPr>
                <w:lang w:val="fr-CH" w:eastAsia="de-DE"/>
              </w:rPr>
            </w:r>
            <w:r w:rsidR="00883878">
              <w:rPr>
                <w:lang w:val="fr-CH" w:eastAsia="de-DE"/>
              </w:rPr>
              <w:fldChar w:fldCharType="separate"/>
            </w:r>
            <w:r w:rsidR="00C94C10">
              <w:rPr>
                <w:lang w:val="fr-CH" w:eastAsia="de-DE"/>
              </w:rPr>
              <w:fldChar w:fldCharType="end"/>
            </w:r>
            <w:r>
              <w:t xml:space="preserve"> {{PARZELLE}}</w:t>
            </w:r>
          </w:p>
        </w:tc>
      </w:tr>
      <w:tr w:rsidR="00274F90" w:rsidTr="00905692">
        <w:tc>
          <w:tcPr>
            <w:tcW w:w="2268" w:type="dxa"/>
          </w:tcPr>
          <w:p w:rsidR="00274F90" w:rsidRPr="00AE0CC4" w:rsidRDefault="00274F90" w:rsidP="00617CBE">
            <w:pPr>
              <w:rPr>
                <w:lang w:val="fr-CH" w:eastAsia="de-DE"/>
              </w:rPr>
            </w:pPr>
            <w:r>
              <w:rPr>
                <w:lang w:val="fr-CH" w:eastAsia="de-DE"/>
              </w:rPr>
              <w:t>Opposant</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tc>
        <w:tc>
          <w:tcPr>
            <w:tcW w:w="7088" w:type="dxa"/>
          </w:tcPr>
          <w:p w:rsidR="00274F90" w:rsidRDefault="00274F90" w:rsidP="00274F90">
            <w:pPr>
              <w:pStyle w:val="AufzhlungBrief"/>
            </w:pPr>
          </w:p>
        </w:tc>
      </w:tr>
    </w:tbl>
    <w:p w:rsidR="00274F90" w:rsidRDefault="00274F90" w:rsidP="00274F90">
      <w:pPr>
        <w:pStyle w:val="berschrift1"/>
        <w:rPr>
          <w:lang w:val="fr-CH" w:eastAsia="de-DE"/>
        </w:rPr>
      </w:pPr>
      <w:r w:rsidRPr="00274F90">
        <w:rPr>
          <w:lang w:val="fr-CH" w:eastAsia="de-DE"/>
        </w:rPr>
        <w:t>Faits</w:t>
      </w:r>
    </w:p>
    <w:p w:rsidR="00274F90" w:rsidRDefault="00274F90" w:rsidP="00274F90">
      <w:pPr>
        <w:pStyle w:val="ABCAufzhlung"/>
        <w:rPr>
          <w:lang w:val="fr-CH" w:eastAsia="de-DE"/>
        </w:rPr>
      </w:pPr>
      <w:r>
        <w:rPr>
          <w:lang w:val="fr-CH" w:eastAsia="de-DE"/>
        </w:rPr>
        <w:fldChar w:fldCharType="begin">
          <w:ffData>
            <w:name w:val=""/>
            <w:enabled/>
            <w:calcOnExit w:val="0"/>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p w:rsidR="00274F90" w:rsidRPr="00274F90" w:rsidRDefault="00274F90" w:rsidP="00274F90">
      <w:pPr>
        <w:pStyle w:val="ABCAufzhlung"/>
        <w:rPr>
          <w:lang w:val="fr-CH" w:eastAsia="de-DE"/>
        </w:rPr>
      </w:pPr>
      <w:r>
        <w:rPr>
          <w:lang w:val="fr-CH" w:eastAsia="de-DE"/>
        </w:rPr>
        <w:fldChar w:fldCharType="begin">
          <w:ffData>
            <w:name w:val=""/>
            <w:enabled/>
            <w:calcOnExit w:val="0"/>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p w:rsidR="00327140" w:rsidRDefault="00C94C10" w:rsidP="0042154F">
      <w:pPr>
        <w:pStyle w:val="berschrift1"/>
        <w:rPr>
          <w:lang w:val="fr-CH" w:eastAsia="de-DE"/>
        </w:rPr>
      </w:pPr>
      <w:r w:rsidRPr="00AE0CC4">
        <w:rPr>
          <w:lang w:val="fr-CH" w:eastAsia="de-DE"/>
        </w:rPr>
        <w:t>Considérants</w:t>
      </w:r>
    </w:p>
    <w:p w:rsidR="00274F90" w:rsidRDefault="00274F90" w:rsidP="00274F90">
      <w:pPr>
        <w:pStyle w:val="berschrift2"/>
        <w:rPr>
          <w:lang w:val="fr-CH" w:eastAsia="de-DE"/>
        </w:rPr>
      </w:pPr>
      <w:r>
        <w:rPr>
          <w:lang w:val="fr-CH"/>
        </w:rPr>
        <w:t xml:space="preserve">Le maître d’ouvrage a retiré sa demande de permis de construire par lettre du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r>
        <w:rPr>
          <w:lang w:val="fr-CH" w:eastAsia="de-DE"/>
        </w:rPr>
        <w:t>.</w:t>
      </w:r>
    </w:p>
    <w:p w:rsidR="00274F90" w:rsidRDefault="00274F90" w:rsidP="00274F90">
      <w:pPr>
        <w:pStyle w:val="berschrift2"/>
        <w:rPr>
          <w:lang w:val="fr-CH" w:eastAsia="de-DE"/>
        </w:rPr>
      </w:pPr>
      <w:r>
        <w:rPr>
          <w:lang w:val="fr-CH" w:eastAsia="de-DE"/>
        </w:rPr>
        <w:t>La procédure peut donc être rayée du rôle.</w:t>
      </w:r>
    </w:p>
    <w:p w:rsidR="00274F90" w:rsidRDefault="00274F90" w:rsidP="00274F90">
      <w:pPr>
        <w:pStyle w:val="berschrift2"/>
        <w:rPr>
          <w:lang w:val="fr-CH" w:eastAsia="de-DE"/>
        </w:rPr>
      </w:pPr>
      <w:r>
        <w:rPr>
          <w:lang w:val="fr-CH" w:eastAsia="de-DE"/>
        </w:rPr>
        <w:t>Les coûts de la procédure sont facturés conformément à l’article 110 LPJA</w:t>
      </w:r>
      <w:r>
        <w:rPr>
          <w:rStyle w:val="Funotenzeichen"/>
          <w:lang w:val="fr-CH" w:eastAsia="de-DE"/>
        </w:rPr>
        <w:footnoteReference w:id="1"/>
      </w:r>
      <w:r>
        <w:rPr>
          <w:lang w:val="fr-CH" w:eastAsia="de-DE"/>
        </w:rPr>
        <w:t>.</w:t>
      </w:r>
    </w:p>
    <w:p w:rsidR="00274F90" w:rsidRPr="00274F90" w:rsidRDefault="00274F90" w:rsidP="00274F90">
      <w:pPr>
        <w:pStyle w:val="berschrift2"/>
        <w:rPr>
          <w:lang w:val="fr-CH" w:eastAsia="de-DE"/>
        </w:rPr>
      </w:pPr>
      <w:r>
        <w:rPr>
          <w:lang w:val="fr-CH" w:eastAsia="de-DE"/>
        </w:rPr>
        <w:fldChar w:fldCharType="begin">
          <w:ffData>
            <w:name w:val=""/>
            <w:enabled/>
            <w:calcOnExit w:val="0"/>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p w:rsidR="00152552" w:rsidRPr="00905692" w:rsidRDefault="004178A5" w:rsidP="0042154F">
      <w:pPr>
        <w:pStyle w:val="berschrift1"/>
        <w:rPr>
          <w:lang w:val="fr-CH" w:eastAsia="de-DE"/>
        </w:rPr>
      </w:pPr>
      <w:r>
        <w:rPr>
          <w:lang w:val="fr-CH" w:eastAsia="de-DE"/>
        </w:rPr>
        <w:lastRenderedPageBreak/>
        <w:t>Décision</w:t>
      </w:r>
    </w:p>
    <w:p w:rsidR="007E61E4" w:rsidRPr="00F61771" w:rsidRDefault="00274F90" w:rsidP="0042154F">
      <w:pPr>
        <w:pStyle w:val="berschrift2"/>
        <w:rPr>
          <w:lang w:val="fr-CH" w:eastAsia="de-DE"/>
        </w:rPr>
      </w:pPr>
      <w:r>
        <w:rPr>
          <w:lang w:val="fr-CH" w:eastAsia="de-DE"/>
        </w:rPr>
        <w:t>La procédure, devenue sans objet, est rayée du rôle.</w:t>
      </w:r>
    </w:p>
    <w:p w:rsidR="00D67624" w:rsidRDefault="00274F90" w:rsidP="0042154F">
      <w:pPr>
        <w:pStyle w:val="berschrift2"/>
        <w:rPr>
          <w:lang w:val="fr-CH" w:eastAsia="de-DE"/>
        </w:rPr>
      </w:pPr>
      <w:r>
        <w:rPr>
          <w:lang w:val="fr-CH" w:eastAsia="de-DE"/>
        </w:rPr>
        <w:t>Les frais de la procédure ainsi que des rapports officiels et des rapports techniques demandés sont mis à la charge du maître d'ouvrage. Ils sont fixés comme suit: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t>Emoluments</w:t>
            </w:r>
            <w:r w:rsidRPr="00AC2364">
              <w:t xml:space="preserve"> </w:t>
            </w:r>
            <w:r w:rsidRPr="00081ABC">
              <w:t>{{MEINE_ORGANISATION_NAME}}</w:t>
            </w:r>
          </w:p>
        </w:tc>
        <w:tc>
          <w:tcPr>
            <w:tcW w:w="671" w:type="dxa"/>
            <w:tcBorders>
              <w:top w:val="nil"/>
              <w:left w:val="nil"/>
              <w:bottom w:val="nil"/>
              <w:right w:val="nil"/>
            </w:tcBorders>
            <w:shd w:val="clear" w:color="auto" w:fill="auto"/>
          </w:tcPr>
          <w:p w:rsidR="00274F90" w:rsidRPr="00AC2364" w:rsidRDefault="00274F90" w:rsidP="003F0444">
            <w:pPr>
              <w:pStyle w:val="KeinLeerraum"/>
            </w:pPr>
            <w:r w:rsidRPr="00AC2364">
              <w:t>CHF</w:t>
            </w:r>
          </w:p>
        </w:tc>
        <w:tc>
          <w:tcPr>
            <w:tcW w:w="1479" w:type="dxa"/>
            <w:tcBorders>
              <w:top w:val="nil"/>
              <w:left w:val="nil"/>
              <w:bottom w:val="nil"/>
              <w:right w:val="nil"/>
            </w:tcBorders>
            <w:shd w:val="clear" w:color="auto" w:fill="auto"/>
          </w:tcPr>
          <w:p w:rsidR="00274F90" w:rsidRPr="00AC2364" w:rsidRDefault="00274F90" w:rsidP="003F0444">
            <w:pPr>
              <w:pStyle w:val="KeinLeerraum"/>
              <w:jc w:val="right"/>
            </w:pPr>
            <w:r w:rsidRPr="005204EF">
              <w:fldChar w:fldCharType="begin">
                <w:ffData>
                  <w:name w:val=""/>
                  <w:enabled/>
                  <w:calcOnExit w:val="0"/>
                  <w:ddList/>
                </w:ffData>
              </w:fldChar>
            </w:r>
            <w:r w:rsidRPr="005204EF">
              <w:instrText xml:space="preserve"> FORMDROPDOWN </w:instrText>
            </w:r>
            <w:r w:rsidR="00883878">
              <w:fldChar w:fldCharType="separate"/>
            </w:r>
            <w:r w:rsidRPr="005204EF">
              <w:fldChar w:fldCharType="end"/>
            </w: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274F90" w:rsidRPr="00AC2364" w:rsidRDefault="00274F90" w:rsidP="003F0444">
            <w:pPr>
              <w:pStyle w:val="KeinLeerraum"/>
            </w:pPr>
          </w:p>
        </w:tc>
        <w:tc>
          <w:tcPr>
            <w:tcW w:w="1479" w:type="dxa"/>
            <w:tcBorders>
              <w:top w:val="nil"/>
              <w:left w:val="nil"/>
              <w:bottom w:val="nil"/>
              <w:right w:val="nil"/>
            </w:tcBorders>
            <w:shd w:val="clear" w:color="auto" w:fill="auto"/>
          </w:tcPr>
          <w:p w:rsidR="00274F90" w:rsidRPr="00AC2364" w:rsidRDefault="00274F90" w:rsidP="003F0444">
            <w:pPr>
              <w:pStyle w:val="KeinLeerraum"/>
              <w:jc w:val="right"/>
            </w:pP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rsidRPr="00AC2364">
              <w:t>{{GEBUEHR.POSITION}}</w:t>
            </w:r>
          </w:p>
        </w:tc>
        <w:tc>
          <w:tcPr>
            <w:tcW w:w="671" w:type="dxa"/>
            <w:tcBorders>
              <w:top w:val="nil"/>
              <w:left w:val="nil"/>
              <w:bottom w:val="nil"/>
              <w:right w:val="nil"/>
            </w:tcBorders>
            <w:shd w:val="clear" w:color="auto" w:fill="auto"/>
          </w:tcPr>
          <w:p w:rsidR="00274F90" w:rsidRPr="00AC2364" w:rsidRDefault="00274F90" w:rsidP="003F0444">
            <w:pPr>
              <w:pStyle w:val="KeinLeerraum"/>
            </w:pPr>
            <w:r w:rsidRPr="00AC2364">
              <w:t>CHF</w:t>
            </w:r>
          </w:p>
        </w:tc>
        <w:tc>
          <w:tcPr>
            <w:tcW w:w="1479" w:type="dxa"/>
            <w:tcBorders>
              <w:top w:val="nil"/>
              <w:left w:val="nil"/>
              <w:bottom w:val="nil"/>
              <w:right w:val="nil"/>
            </w:tcBorders>
            <w:shd w:val="clear" w:color="auto" w:fill="auto"/>
          </w:tcPr>
          <w:p w:rsidR="00274F90" w:rsidRPr="00AC2364" w:rsidRDefault="00274F90" w:rsidP="003F0444">
            <w:pPr>
              <w:pStyle w:val="KeinLeerraum"/>
              <w:jc w:val="right"/>
            </w:pPr>
            <w:r w:rsidRPr="00AC2364">
              <w:t>{{GEBUEHR.BETRAG}}</w:t>
            </w: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274F90" w:rsidRPr="00AC2364" w:rsidRDefault="00274F90" w:rsidP="003F0444">
            <w:pPr>
              <w:pStyle w:val="KeinLeerraum"/>
            </w:pPr>
          </w:p>
        </w:tc>
        <w:tc>
          <w:tcPr>
            <w:tcW w:w="1479" w:type="dxa"/>
            <w:tcBorders>
              <w:top w:val="nil"/>
              <w:left w:val="nil"/>
              <w:bottom w:val="single" w:sz="4" w:space="0" w:color="auto"/>
              <w:right w:val="nil"/>
            </w:tcBorders>
            <w:shd w:val="clear" w:color="auto" w:fill="auto"/>
          </w:tcPr>
          <w:p w:rsidR="00274F90" w:rsidRPr="00AC2364" w:rsidRDefault="00274F90" w:rsidP="003F0444">
            <w:pPr>
              <w:pStyle w:val="KeinLeerraum"/>
            </w:pPr>
          </w:p>
        </w:tc>
      </w:tr>
      <w:tr w:rsidR="00274F90" w:rsidRPr="00AC2364" w:rsidTr="003F0444">
        <w:tc>
          <w:tcPr>
            <w:tcW w:w="6600" w:type="dxa"/>
            <w:tcBorders>
              <w:top w:val="nil"/>
              <w:left w:val="nil"/>
              <w:bottom w:val="nil"/>
              <w:right w:val="nil"/>
            </w:tcBorders>
            <w:shd w:val="clear" w:color="auto" w:fill="auto"/>
          </w:tcPr>
          <w:p w:rsidR="00274F90" w:rsidRPr="00AC2364" w:rsidRDefault="00274F90" w:rsidP="003F0444">
            <w:pPr>
              <w:pStyle w:val="BetreffTitel"/>
            </w:pPr>
            <w:r w:rsidRPr="00AC2364">
              <w:t>Total</w:t>
            </w:r>
          </w:p>
        </w:tc>
        <w:tc>
          <w:tcPr>
            <w:tcW w:w="671" w:type="dxa"/>
            <w:tcBorders>
              <w:top w:val="single" w:sz="4" w:space="0" w:color="auto"/>
              <w:left w:val="nil"/>
              <w:bottom w:val="double" w:sz="4" w:space="0" w:color="auto"/>
              <w:right w:val="nil"/>
            </w:tcBorders>
            <w:shd w:val="clear" w:color="auto" w:fill="auto"/>
          </w:tcPr>
          <w:p w:rsidR="00274F90" w:rsidRPr="00AC2364" w:rsidRDefault="00274F90" w:rsidP="003F0444">
            <w:pPr>
              <w:pStyle w:val="BetreffTitel"/>
            </w:pPr>
            <w:r w:rsidRPr="00AC2364">
              <w:t>CHF</w:t>
            </w:r>
          </w:p>
        </w:tc>
        <w:tc>
          <w:tcPr>
            <w:tcW w:w="1479" w:type="dxa"/>
            <w:tcBorders>
              <w:top w:val="single" w:sz="4" w:space="0" w:color="auto"/>
              <w:left w:val="nil"/>
              <w:bottom w:val="double" w:sz="4" w:space="0" w:color="auto"/>
              <w:right w:val="nil"/>
            </w:tcBorders>
            <w:shd w:val="clear" w:color="auto" w:fill="auto"/>
          </w:tcPr>
          <w:p w:rsidR="00274F90" w:rsidRPr="00AC2364" w:rsidRDefault="00274F90" w:rsidP="003F0444">
            <w:pPr>
              <w:pStyle w:val="Ausrichtungrechtsfett"/>
            </w:pPr>
            <w:r w:rsidRPr="00AC2364">
              <w:t>{{GEBUEHREN_TOTAL}}</w:t>
            </w:r>
            <w:r w:rsidRPr="00AC2364">
              <w:rPr>
                <w:highlight w:val="green"/>
              </w:rPr>
              <w:t xml:space="preserve"> </w:t>
            </w:r>
          </w:p>
        </w:tc>
      </w:tr>
    </w:tbl>
    <w:p w:rsidR="00274F90" w:rsidRDefault="00274F90" w:rsidP="00274F90">
      <w:pPr>
        <w:pStyle w:val="Standardeinzug"/>
        <w:rPr>
          <w:lang w:val="fr-CH" w:eastAsia="de-DE"/>
        </w:rPr>
      </w:pPr>
      <w:r>
        <w:rPr>
          <w:lang w:val="fr-CH" w:eastAsia="de-DE"/>
        </w:rPr>
        <w:t>La facture sera envoyée par courrier séparé.</w:t>
      </w:r>
    </w:p>
    <w:p w:rsidR="00AF7181" w:rsidRPr="00F61771" w:rsidRDefault="00274F90" w:rsidP="004178A5">
      <w:pPr>
        <w:pStyle w:val="berschrift2"/>
        <w:rPr>
          <w:lang w:val="fr-CH" w:eastAsia="de-DE"/>
        </w:rPr>
      </w:pPr>
      <w:r>
        <w:rPr>
          <w:lang w:val="fr-CH" w:eastAsia="de-DE"/>
        </w:rPr>
        <w:fldChar w:fldCharType="begin">
          <w:ffData>
            <w:name w:val=""/>
            <w:enabled/>
            <w:calcOnExit w:val="0"/>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p w:rsidR="007F4D18" w:rsidRPr="00274F90" w:rsidRDefault="00274F90" w:rsidP="00AF7181">
      <w:pPr>
        <w:pStyle w:val="berschrift2"/>
        <w:rPr>
          <w:lang w:val="fr-CH" w:eastAsia="de-DE"/>
        </w:rPr>
      </w:pPr>
      <w:proofErr w:type="spellStart"/>
      <w:r>
        <w:rPr>
          <w:lang w:eastAsia="de-DE"/>
        </w:rPr>
        <w:t>Notification</w:t>
      </w:r>
      <w:proofErr w:type="spellEnd"/>
    </w:p>
    <w:p w:rsidR="00274F90" w:rsidRPr="004178A5" w:rsidRDefault="00274F90" w:rsidP="00274F90">
      <w:pPr>
        <w:pStyle w:val="berschrift3"/>
        <w:rPr>
          <w:lang w:val="fr-CH" w:eastAsia="de-DE"/>
        </w:rPr>
      </w:pPr>
      <w:bookmarkStart w:id="1" w:name="__DdeLink__962_2570546593"/>
      <w:r>
        <w:rPr>
          <w:lang w:val="fr-CH" w:eastAsia="de-DE"/>
        </w:rPr>
        <w:t>La décision est notifiée par courrier A Plus à</w:t>
      </w:r>
      <w:r w:rsidRPr="00C33CF3">
        <w:rPr>
          <w:lang w:val="fr-CH" w:eastAsia="de-DE"/>
        </w:rPr>
        <w:t>:</w:t>
      </w:r>
      <w:bookmarkEnd w:id="1"/>
    </w:p>
    <w:p w:rsidR="004178A5" w:rsidRDefault="004178A5" w:rsidP="004178A5">
      <w:pPr>
        <w:pStyle w:val="AufzhlungVerfgung"/>
        <w:numPr>
          <w:ilvl w:val="0"/>
          <w:numId w:val="11"/>
        </w:numPr>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sidR="00883878">
        <w:rPr>
          <w:lang w:eastAsia="de-DE"/>
        </w:rPr>
      </w:r>
      <w:r w:rsidR="00883878">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067080" w:rsidRPr="00067080" w:rsidRDefault="00067080" w:rsidP="00067080">
      <w:pPr>
        <w:pStyle w:val="berschrift3"/>
        <w:rPr>
          <w:lang w:val="fr-CH" w:eastAsia="de-DE"/>
        </w:rPr>
      </w:pPr>
      <w:r>
        <w:rPr>
          <w:lang w:val="fr-CH" w:eastAsia="de-DE"/>
        </w:rPr>
        <w:t>La décision est notifiée par courrier B / courrier électronique à</w:t>
      </w:r>
      <w:r w:rsidRPr="00C33CF3">
        <w:rPr>
          <w:lang w:val="fr-CH" w:eastAsia="de-DE"/>
        </w:rPr>
        <w:t>:</w:t>
      </w:r>
    </w:p>
    <w:p w:rsidR="00067080" w:rsidRDefault="00067080" w:rsidP="00067080">
      <w:pPr>
        <w:pStyle w:val="AufzhlungVerfgung"/>
        <w:rPr>
          <w:lang w:eastAsia="de-DE"/>
        </w:rPr>
      </w:pPr>
      <w:r>
        <w:t>{{ALLE_</w:t>
      </w:r>
      <w:r w:rsidRPr="000F5972">
        <w:t>PROJEKTVERFASSER_NAME_ADRESSE</w:t>
      </w:r>
      <w:r>
        <w:t xml:space="preserve"> | </w:t>
      </w:r>
      <w:proofErr w:type="spellStart"/>
      <w:r>
        <w:t>multiline</w:t>
      </w:r>
      <w:proofErr w:type="spellEnd"/>
      <w:r>
        <w:t>}}</w:t>
      </w:r>
    </w:p>
    <w:p w:rsidR="00067080" w:rsidRPr="005854D3" w:rsidRDefault="00067080" w:rsidP="00067080">
      <w:pPr>
        <w:pStyle w:val="AufzhlungVerfgung"/>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_AL</w:t>
      </w:r>
      <w:r>
        <w:t>LE</w:t>
      </w:r>
      <w:r w:rsidRPr="005854D3">
        <w:t xml:space="preserve"> %}</w:t>
      </w:r>
    </w:p>
    <w:p w:rsidR="00067080" w:rsidRDefault="00067080" w:rsidP="00067080">
      <w:pPr>
        <w:pStyle w:val="AufzhlungVerfgung"/>
      </w:pPr>
      <w:proofErr w:type="gramStart"/>
      <w:r w:rsidRPr="005854D3">
        <w:t>{{ fachstelle.NAME</w:t>
      </w:r>
      <w:proofErr w:type="gramEnd"/>
      <w:r w:rsidRPr="005854D3">
        <w:t xml:space="preserve"> }}{% </w:t>
      </w:r>
      <w:proofErr w:type="spellStart"/>
      <w:r w:rsidRPr="005854D3">
        <w:t>endfor</w:t>
      </w:r>
      <w:proofErr w:type="spellEnd"/>
      <w:r w:rsidRPr="005854D3">
        <w:t xml:space="preserve"> %}</w:t>
      </w:r>
    </w:p>
    <w:p w:rsidR="00067080" w:rsidRDefault="00067080" w:rsidP="00067080">
      <w:pPr>
        <w:pStyle w:val="AufzhlungVerfgung"/>
      </w:pPr>
      <w:r>
        <w:rPr>
          <w:lang w:eastAsia="de-DE"/>
        </w:rPr>
        <w:fldChar w:fldCharType="begin">
          <w:ffData>
            <w:name w:val=""/>
            <w:enabled/>
            <w:calcOnExit w:val="0"/>
            <w:ddList>
              <w:listEntry w:val="Opposant(s)"/>
            </w:ddList>
          </w:ffData>
        </w:fldChar>
      </w:r>
      <w:r>
        <w:rPr>
          <w:lang w:eastAsia="de-DE"/>
        </w:rPr>
        <w:instrText xml:space="preserve"> FORMDROPDOWN </w:instrText>
      </w:r>
      <w:r w:rsidR="00883878">
        <w:rPr>
          <w:lang w:eastAsia="de-DE"/>
        </w:rPr>
      </w:r>
      <w:r w:rsidR="00883878">
        <w:rPr>
          <w:lang w:eastAsia="de-DE"/>
        </w:rPr>
        <w:fldChar w:fldCharType="separate"/>
      </w:r>
      <w:r>
        <w:rPr>
          <w:lang w:eastAsia="de-DE"/>
        </w:rPr>
        <w:fldChar w:fldCharType="end"/>
      </w:r>
    </w:p>
    <w:p w:rsidR="00067080" w:rsidRDefault="00067080" w:rsidP="00067080">
      <w:pPr>
        <w:pStyle w:val="AufzhlungVerfgung"/>
      </w:pPr>
      <w:r>
        <w:rPr>
          <w:lang w:val="fr-CH" w:eastAsia="de-DE"/>
        </w:rPr>
        <w:fldChar w:fldCharType="begin">
          <w:ffData>
            <w:name w:val=""/>
            <w:enabled/>
            <w:calcOnExit w:val="0"/>
            <w:ddList>
              <w:listEntry w:val="autres"/>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p w:rsidR="004178A5" w:rsidRPr="007F4D18" w:rsidRDefault="00067080" w:rsidP="00067080">
      <w:pPr>
        <w:pStyle w:val="AufzhlungVerfgung"/>
        <w:rPr>
          <w:lang w:val="fr-CH" w:eastAsia="de-DE"/>
        </w:rPr>
      </w:pPr>
      <w:r>
        <w:rPr>
          <w:lang w:val="fr-CH" w:eastAsia="de-DE"/>
        </w:rPr>
        <w:fldChar w:fldCharType="begin">
          <w:ffData>
            <w:name w:val=""/>
            <w:enabled/>
            <w:calcOnExit w:val="0"/>
            <w:ddList>
              <w:listEntry w:val="par voie interne"/>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274F90"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274F90"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39190C" w:rsidRDefault="0039190C" w:rsidP="0039190C">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883878">
              <w:rPr>
                <w:lang w:val="fr-CH" w:eastAsia="de-DE"/>
              </w:rPr>
            </w:r>
            <w:r w:rsidR="00883878">
              <w:rPr>
                <w:lang w:val="fr-CH" w:eastAsia="de-DE"/>
              </w:rPr>
              <w:fldChar w:fldCharType="separate"/>
            </w:r>
            <w:r w:rsidRPr="00AE0CC4">
              <w:rPr>
                <w:lang w:val="fr-CH" w:eastAsia="de-DE"/>
              </w:rPr>
              <w:fldChar w:fldCharType="end"/>
            </w:r>
          </w:p>
          <w:p w:rsidR="00DB1845" w:rsidRPr="007E6AA0" w:rsidRDefault="005E2E0A" w:rsidP="0039190C">
            <w:pPr>
              <w:pStyle w:val="KeinLeerraum"/>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sidR="00883878">
              <w:rPr>
                <w:lang w:val="fr-CH" w:eastAsia="de-DE"/>
              </w:rPr>
            </w:r>
            <w:r w:rsidR="00883878">
              <w:rPr>
                <w:lang w:val="fr-CH" w:eastAsia="de-DE"/>
              </w:rPr>
              <w:fldChar w:fldCharType="separate"/>
            </w:r>
            <w:r>
              <w:rPr>
                <w:lang w:val="fr-CH" w:eastAsia="de-DE"/>
              </w:rPr>
              <w:fldChar w:fldCharType="end"/>
            </w:r>
          </w:p>
        </w:tc>
      </w:tr>
    </w:tbl>
    <w:p w:rsidR="004178A5" w:rsidRDefault="004178A5" w:rsidP="004178A5">
      <w:pPr>
        <w:pStyle w:val="RM-Belehrungberschrift"/>
        <w:rPr>
          <w:lang w:val="fr-CH"/>
        </w:rPr>
      </w:pPr>
      <w:r>
        <w:rPr>
          <w:lang w:val="fr-CH"/>
        </w:rPr>
        <w:t>Voies de recours</w:t>
      </w:r>
    </w:p>
    <w:p w:rsidR="0039190C" w:rsidRPr="00F61771" w:rsidRDefault="004178A5" w:rsidP="004178A5">
      <w:pPr>
        <w:pStyle w:val="RM-BelehrungText"/>
        <w:rPr>
          <w:lang w:val="fr-CH" w:eastAsia="de-DE"/>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883878" w:rsidRPr="00883878">
      <w:rPr>
        <w:noProof/>
        <w:lang w:val="de-DE"/>
      </w:rPr>
      <w:t>2</w:t>
    </w:r>
    <w:r w:rsidRPr="00DE550D">
      <w:fldChar w:fldCharType="end"/>
    </w:r>
    <w:r w:rsidR="00F61771">
      <w:rPr>
        <w:lang w:val="de-DE"/>
      </w:rPr>
      <w:t>/</w:t>
    </w:r>
    <w:r w:rsidR="00883878">
      <w:fldChar w:fldCharType="begin"/>
    </w:r>
    <w:r w:rsidR="00883878">
      <w:instrText>NUMPAGES  \* Arabic  \* MERGEFORMAT</w:instrText>
    </w:r>
    <w:r w:rsidR="00883878">
      <w:fldChar w:fldCharType="separate"/>
    </w:r>
    <w:r w:rsidR="00883878" w:rsidRPr="00883878">
      <w:rPr>
        <w:noProof/>
        <w:lang w:val="de-DE"/>
      </w:rPr>
      <w:t>2</w:t>
    </w:r>
    <w:r w:rsidR="00883878">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274F90" w:rsidRPr="00883878" w:rsidRDefault="00274F90">
      <w:pPr>
        <w:pStyle w:val="Funotentext"/>
        <w:rPr>
          <w:lang w:val="fr-CH"/>
        </w:rPr>
      </w:pPr>
      <w:r>
        <w:rPr>
          <w:rStyle w:val="Funotenzeichen"/>
        </w:rPr>
        <w:footnoteRef/>
      </w:r>
      <w:r w:rsidRPr="00883878">
        <w:rPr>
          <w:lang w:val="fr-CH"/>
        </w:rPr>
        <w:t xml:space="preserve"> </w:t>
      </w:r>
      <w:r w:rsidRPr="00883878">
        <w:rPr>
          <w:lang w:val="fr-CH"/>
        </w:rPr>
        <w:tab/>
      </w:r>
      <w:r w:rsidR="00883878">
        <w:rPr>
          <w:lang w:val="fr-CH"/>
        </w:rPr>
        <w:t>Loi du 23 mai 1989 sur la procédure et la juridiction administratives (LPJA ; RSB 155.21).</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274F90"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274F90"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0"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0"/>
  </w:num>
  <w:num w:numId="5">
    <w:abstractNumId w:val="5"/>
  </w:num>
  <w:num w:numId="6">
    <w:abstractNumId w:val="6"/>
  </w:num>
  <w:num w:numId="7">
    <w:abstractNumId w:val="0"/>
  </w:num>
  <w:num w:numId="8">
    <w:abstractNumId w:val="4"/>
  </w:num>
  <w:num w:numId="9">
    <w:abstractNumId w:val="1"/>
  </w:num>
  <w:num w:numId="10">
    <w:abstractNumId w:val="9"/>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67080"/>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74F90"/>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178A5"/>
    <w:rsid w:val="0042154F"/>
    <w:rsid w:val="0042736B"/>
    <w:rsid w:val="004425C2"/>
    <w:rsid w:val="00453748"/>
    <w:rsid w:val="00456EEE"/>
    <w:rsid w:val="00480786"/>
    <w:rsid w:val="00496374"/>
    <w:rsid w:val="004C17BE"/>
    <w:rsid w:val="00515202"/>
    <w:rsid w:val="00540BE0"/>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40931"/>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83878"/>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1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9"/>
    <w:semiHidden/>
    <w:rsid w:val="00DD6033"/>
    <w:rPr>
      <w:rFonts w:eastAsia="Times New Roman"/>
      <w:iCs/>
      <w:sz w:val="22"/>
      <w:szCs w:val="22"/>
      <w:lang w:eastAsia="en-US"/>
    </w:rPr>
  </w:style>
  <w:style w:type="character" w:customStyle="1" w:styleId="berschrift7Zchn">
    <w:name w:val="Überschrift 7 Zchn"/>
    <w:link w:val="berschrift7"/>
    <w:uiPriority w:val="9"/>
    <w:semiHidden/>
    <w:rsid w:val="00DD6033"/>
    <w:rPr>
      <w:rFonts w:eastAsia="Times New Roman"/>
      <w:iCs/>
      <w:sz w:val="22"/>
      <w:szCs w:val="22"/>
      <w:lang w:eastAsia="en-US"/>
    </w:rPr>
  </w:style>
  <w:style w:type="character" w:customStyle="1" w:styleId="berschrift8Zchn">
    <w:name w:val="Überschrift 8 Zchn"/>
    <w:link w:val="berschrift8"/>
    <w:uiPriority w:val="9"/>
    <w:semiHidden/>
    <w:rsid w:val="00DD6033"/>
    <w:rPr>
      <w:rFonts w:eastAsia="Times New Roman"/>
      <w:color w:val="404040"/>
      <w:lang w:eastAsia="en-US"/>
    </w:rPr>
  </w:style>
  <w:style w:type="character" w:customStyle="1" w:styleId="berschrift9Zchn">
    <w:name w:val="Überschrift 9 Zchn"/>
    <w:link w:val="berschrift9"/>
    <w:uiPriority w:val="9"/>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19699">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6396F-9341-47AE-9DD0-11C7D8D27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2141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20</cp:revision>
  <cp:lastPrinted>2018-04-06T07:19:00Z</cp:lastPrinted>
  <dcterms:created xsi:type="dcterms:W3CDTF">2020-02-06T14:30:00Z</dcterms:created>
  <dcterms:modified xsi:type="dcterms:W3CDTF">2020-11-23T10:45:00Z</dcterms:modified>
</cp:coreProperties>
</file>