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Default="0010791D" w:rsidP="0041440D">
      <w:pPr>
        <w:pStyle w:val="BetreffTitel"/>
      </w:pPr>
      <w:proofErr w:type="spellStart"/>
      <w:r w:rsidRPr="0010791D">
        <w:t>Décision</w:t>
      </w:r>
      <w:proofErr w:type="spellEnd"/>
      <w:r w:rsidR="00885C0C">
        <w:t xml:space="preserve"> </w:t>
      </w:r>
      <w:r w:rsidR="00885C0C" w:rsidRPr="00274F90">
        <w:rPr>
          <w:lang w:val="fr-CH" w:eastAsia="de-DE"/>
        </w:rPr>
        <w:t xml:space="preserve">de </w:t>
      </w:r>
      <w:r w:rsidR="00885C0C" w:rsidRPr="00B56709">
        <w:rPr>
          <w:lang w:val="fr-CH" w:eastAsia="de-DE"/>
        </w:rPr>
        <w:t>suspension</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710"/>
      </w:tblGrid>
      <w:tr w:rsidR="0010791D" w:rsidTr="00A87C2F">
        <w:tc>
          <w:tcPr>
            <w:tcW w:w="2268" w:type="dxa"/>
          </w:tcPr>
          <w:p w:rsidR="0010791D" w:rsidRDefault="0010791D" w:rsidP="00A87C2F">
            <w:pPr>
              <w:rPr>
                <w:lang w:eastAsia="de-DE"/>
              </w:rPr>
            </w:pPr>
            <w:proofErr w:type="spellStart"/>
            <w:r>
              <w:rPr>
                <w:lang w:eastAsia="de-DE"/>
              </w:rPr>
              <w:t>Commune</w:t>
            </w:r>
            <w:proofErr w:type="spellEnd"/>
          </w:p>
        </w:tc>
        <w:tc>
          <w:tcPr>
            <w:tcW w:w="7710" w:type="dxa"/>
          </w:tcPr>
          <w:p w:rsidR="0010791D" w:rsidRDefault="0010791D" w:rsidP="00A87C2F">
            <w:pPr>
              <w:rPr>
                <w:lang w:eastAsia="de-DE"/>
              </w:rPr>
            </w:pPr>
            <w:r w:rsidRPr="0042154F">
              <w:rPr>
                <w:lang w:eastAsia="de-DE"/>
              </w:rPr>
              <w:t>{{GEMEINDE}}</w:t>
            </w:r>
          </w:p>
        </w:tc>
      </w:tr>
      <w:tr w:rsidR="0010791D" w:rsidTr="00A87C2F">
        <w:tc>
          <w:tcPr>
            <w:tcW w:w="2268" w:type="dxa"/>
          </w:tcPr>
          <w:p w:rsidR="0010791D" w:rsidRDefault="0010791D" w:rsidP="00A87C2F">
            <w:pPr>
              <w:rPr>
                <w:lang w:eastAsia="de-DE"/>
              </w:rPr>
            </w:pPr>
            <w:r w:rsidRPr="00AE0CC4">
              <w:rPr>
                <w:lang w:val="fr-CH" w:eastAsia="de-DE"/>
              </w:rPr>
              <w:t>Maître d’ouvrage</w:t>
            </w:r>
          </w:p>
        </w:tc>
        <w:tc>
          <w:tcPr>
            <w:tcW w:w="7710" w:type="dxa"/>
          </w:tcPr>
          <w:p w:rsidR="0010791D" w:rsidRPr="007A1D8D" w:rsidRDefault="0010791D" w:rsidP="00A87C2F">
            <w:pPr>
              <w:pStyle w:val="FettbasierendaufStandard"/>
            </w:pPr>
            <w:r w:rsidRPr="007A1D8D">
              <w:t xml:space="preserve">{{ALLE_GESUCHSTELLER_NAME_ADRESSE |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885C0C">
              <w:rPr>
                <w:lang w:val="fr-CH" w:eastAsia="de-DE"/>
              </w:rPr>
            </w:r>
            <w:r w:rsidR="00885C0C">
              <w:rPr>
                <w:lang w:val="fr-CH" w:eastAsia="de-DE"/>
              </w:rPr>
              <w:fldChar w:fldCharType="separate"/>
            </w:r>
            <w:r w:rsidRPr="00AE0CC4">
              <w:rPr>
                <w:lang w:val="fr-CH" w:eastAsia="de-DE"/>
              </w:rPr>
              <w:fldChar w:fldCharType="end"/>
            </w:r>
          </w:p>
        </w:tc>
        <w:tc>
          <w:tcPr>
            <w:tcW w:w="7710" w:type="dxa"/>
          </w:tcPr>
          <w:p w:rsidR="0010791D" w:rsidRDefault="0010791D"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t>Projet de construction</w:t>
            </w:r>
          </w:p>
        </w:tc>
        <w:tc>
          <w:tcPr>
            <w:tcW w:w="7710" w:type="dxa"/>
          </w:tcPr>
          <w:p w:rsidR="0010791D" w:rsidRDefault="0010791D" w:rsidP="00A87C2F">
            <w:pPr>
              <w:pStyle w:val="FettbasierendaufStandard"/>
              <w:rPr>
                <w:lang w:eastAsia="de-DE"/>
              </w:rPr>
            </w:pPr>
            <w:r w:rsidRPr="0042154F">
              <w:rPr>
                <w:lang w:eastAsia="de-DE"/>
              </w:rPr>
              <w:t>{{BESCHREIBUNG_BAUVORHABEN}}</w:t>
            </w:r>
          </w:p>
        </w:tc>
      </w:tr>
      <w:tr w:rsidR="0010791D" w:rsidTr="00A87C2F">
        <w:tc>
          <w:tcPr>
            <w:tcW w:w="2268" w:type="dxa"/>
          </w:tcPr>
          <w:p w:rsidR="0010791D" w:rsidRDefault="0010791D" w:rsidP="00A87C2F">
            <w:pPr>
              <w:rPr>
                <w:lang w:eastAsia="de-DE"/>
              </w:rPr>
            </w:pPr>
            <w:r w:rsidRPr="00AE0CC4">
              <w:rPr>
                <w:lang w:val="fr-CH" w:eastAsia="de-DE"/>
              </w:rPr>
              <w:t>Emplacement</w:t>
            </w:r>
          </w:p>
        </w:tc>
        <w:tc>
          <w:tcPr>
            <w:tcW w:w="7710" w:type="dxa"/>
          </w:tcPr>
          <w:p w:rsidR="0010791D" w:rsidRDefault="0010791D" w:rsidP="00A87C2F">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885C0C">
              <w:rPr>
                <w:lang w:val="fr-CH" w:eastAsia="de-DE"/>
              </w:rPr>
            </w:r>
            <w:r w:rsidR="00885C0C">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885C0C">
              <w:rPr>
                <w:lang w:val="fr-CH" w:eastAsia="de-DE"/>
              </w:rPr>
            </w:r>
            <w:r w:rsidR="00885C0C">
              <w:rPr>
                <w:lang w:val="fr-CH" w:eastAsia="de-DE"/>
              </w:rPr>
              <w:fldChar w:fldCharType="separate"/>
            </w:r>
            <w:r>
              <w:rPr>
                <w:lang w:val="fr-CH" w:eastAsia="de-DE"/>
              </w:rPr>
              <w:fldChar w:fldCharType="end"/>
            </w:r>
            <w:r w:rsidR="00B70428">
              <w:rPr>
                <w:lang w:val="fr-CH" w:eastAsia="de-DE"/>
              </w:rPr>
              <w:t xml:space="preserve"> </w:t>
            </w:r>
            <w:r w:rsidR="00B70428">
              <w:t>{{PARZELLE}}</w:t>
            </w:r>
          </w:p>
        </w:tc>
      </w:tr>
      <w:tr w:rsidR="00885C0C" w:rsidTr="00A87C2F">
        <w:tc>
          <w:tcPr>
            <w:tcW w:w="2268" w:type="dxa"/>
          </w:tcPr>
          <w:p w:rsidR="00885C0C" w:rsidRPr="00AE0CC4" w:rsidRDefault="00885C0C" w:rsidP="00A87C2F">
            <w:pPr>
              <w:rPr>
                <w:lang w:val="fr-CH" w:eastAsia="de-DE"/>
              </w:rPr>
            </w:pPr>
            <w:r>
              <w:rPr>
                <w:lang w:val="fr-CH" w:eastAsia="de-DE"/>
              </w:rPr>
              <w:t>Opposant</w:t>
            </w:r>
            <w:r>
              <w:rPr>
                <w:lang w:val="fr-CH" w:eastAsia="de-DE"/>
              </w:rPr>
              <w:fldChar w:fldCharType="begin">
                <w:ffData>
                  <w:name w:val=""/>
                  <w:enabled/>
                  <w:calcOnExit w:val="0"/>
                  <w:ddList>
                    <w:listEntry w:val="s"/>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tc>
        <w:tc>
          <w:tcPr>
            <w:tcW w:w="7710" w:type="dxa"/>
          </w:tcPr>
          <w:p w:rsidR="00885C0C" w:rsidRDefault="00885C0C" w:rsidP="00885C0C">
            <w:pPr>
              <w:pStyle w:val="AufzhlungBrief"/>
            </w:pPr>
          </w:p>
        </w:tc>
      </w:tr>
    </w:tbl>
    <w:p w:rsidR="00496AC7" w:rsidRDefault="0010791D" w:rsidP="007C2791">
      <w:pPr>
        <w:pStyle w:val="berschrift1"/>
      </w:pPr>
      <w:r w:rsidRPr="00AE0CC4">
        <w:rPr>
          <w:lang w:val="fr-CH" w:eastAsia="de-DE"/>
        </w:rPr>
        <w:t>Considérants</w:t>
      </w:r>
    </w:p>
    <w:p w:rsidR="00682DA2" w:rsidRDefault="00885C0C" w:rsidP="00682DA2">
      <w:pPr>
        <w:pStyle w:val="berschrift2"/>
        <w:rPr>
          <w:lang w:val="fr-CH"/>
        </w:rPr>
      </w:pPr>
      <w:r>
        <w:rPr>
          <w:lang w:val="fr-CH"/>
        </w:rPr>
        <w:t>L'autorité d'octroi du permis de construire peut, d'office ou sur requête, suspendre la procédure lorsque sa solution dépend d'un jugement dans une autre procédure ou peut en être notablement influencée, ou lorsque la même question de droit doit être tranchée dans l'autre procédure</w:t>
      </w:r>
      <w:r>
        <w:rPr>
          <w:rStyle w:val="Funotenzeichen"/>
          <w:lang w:val="fr-CH"/>
        </w:rPr>
        <w:footnoteReference w:id="1"/>
      </w:r>
      <w:r>
        <w:rPr>
          <w:lang w:val="fr-CH"/>
        </w:rPr>
        <w:t>.</w:t>
      </w:r>
    </w:p>
    <w:p w:rsidR="00885C0C" w:rsidRPr="00885C0C" w:rsidRDefault="00885C0C" w:rsidP="00682DA2">
      <w:pPr>
        <w:pStyle w:val="berschrift2"/>
        <w:rPr>
          <w:lang w:val="fr-CH"/>
        </w:rPr>
      </w:pPr>
      <w:r>
        <w:rPr>
          <w:lang w:val="fr-CH" w:eastAsia="de-DE"/>
        </w:rPr>
        <w:fldChar w:fldCharType="begin">
          <w:ffData>
            <w:name w:val=""/>
            <w:enabled/>
            <w:calcOnExit w:val="0"/>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496AC7" w:rsidRDefault="0010791D" w:rsidP="007C2791">
      <w:pPr>
        <w:pStyle w:val="berschrift1"/>
      </w:pPr>
      <w:proofErr w:type="spellStart"/>
      <w:r>
        <w:rPr>
          <w:lang w:eastAsia="de-DE"/>
        </w:rPr>
        <w:t>Décision</w:t>
      </w:r>
      <w:proofErr w:type="spellEnd"/>
    </w:p>
    <w:p w:rsidR="00885C0C" w:rsidRPr="00885C0C" w:rsidRDefault="00885C0C" w:rsidP="00682DA2">
      <w:pPr>
        <w:pStyle w:val="berschrift2"/>
        <w:rPr>
          <w:lang w:val="fr-CH"/>
        </w:rPr>
      </w:pPr>
      <w:r>
        <w:rPr>
          <w:lang w:val="fr-CH"/>
        </w:rPr>
        <w:t xml:space="preserve">La procédure est suspendue jusqu’au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t>.</w:t>
      </w:r>
    </w:p>
    <w:p w:rsidR="00F92689" w:rsidRPr="00885C0C" w:rsidRDefault="00885C0C" w:rsidP="00682DA2">
      <w:pPr>
        <w:pStyle w:val="berschrift2"/>
      </w:pPr>
      <w:r>
        <w:rPr>
          <w:lang w:val="fr-CH" w:eastAsia="de-DE"/>
        </w:rPr>
        <w:fldChar w:fldCharType="begin">
          <w:ffData>
            <w:name w:val=""/>
            <w:enabled/>
            <w:calcOnExit w:val="0"/>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885C0C" w:rsidRDefault="00885C0C" w:rsidP="00682DA2">
      <w:pPr>
        <w:pStyle w:val="berschrift2"/>
      </w:pPr>
      <w:proofErr w:type="spellStart"/>
      <w:r>
        <w:rPr>
          <w:lang w:eastAsia="de-DE"/>
        </w:rPr>
        <w:t>Notification</w:t>
      </w:r>
      <w:proofErr w:type="spellEnd"/>
    </w:p>
    <w:p w:rsidR="00885C0C" w:rsidRDefault="00885C0C" w:rsidP="00885C0C">
      <w:pPr>
        <w:pStyle w:val="berschrift3"/>
        <w:rPr>
          <w:lang w:val="fr-CH"/>
        </w:rPr>
      </w:pPr>
      <w:bookmarkStart w:id="0" w:name="__DdeLink__962_2570546593"/>
      <w:r>
        <w:rPr>
          <w:lang w:val="fr-CH" w:eastAsia="de-DE"/>
        </w:rPr>
        <w:t>La décision est notifiée par courrier A Plus à</w:t>
      </w:r>
      <w:r w:rsidRPr="00C33CF3">
        <w:rPr>
          <w:lang w:val="fr-CH" w:eastAsia="de-DE"/>
        </w:rPr>
        <w:t>:</w:t>
      </w:r>
      <w:bookmarkEnd w:id="0"/>
    </w:p>
    <w:p w:rsidR="00885C0C" w:rsidRDefault="00885C0C" w:rsidP="00885C0C">
      <w:pPr>
        <w:pStyle w:val="AufzhlungVerfgung"/>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r>
        <w:t xml:space="preserve"> {{ALLE_GESUCHSTELLER_NAME_ADRESSE | </w:t>
      </w:r>
      <w:proofErr w:type="spellStart"/>
      <w:r>
        <w:t>multiline</w:t>
      </w:r>
      <w:proofErr w:type="spellEnd"/>
      <w:r>
        <w:t>}}</w:t>
      </w:r>
    </w:p>
    <w:p w:rsidR="00885C0C" w:rsidRDefault="00885C0C" w:rsidP="00885C0C">
      <w:pPr>
        <w:pStyle w:val="berschrift3"/>
        <w:rPr>
          <w:lang w:val="fr-CH"/>
        </w:rPr>
      </w:pPr>
      <w:r>
        <w:rPr>
          <w:lang w:val="fr-CH" w:eastAsia="de-DE"/>
        </w:rPr>
        <w:lastRenderedPageBreak/>
        <w:t>La décision est notifiée par courrier B / courrier électronique à</w:t>
      </w:r>
      <w:r w:rsidRPr="00C33CF3">
        <w:rPr>
          <w:lang w:val="fr-CH" w:eastAsia="de-DE"/>
        </w:rPr>
        <w:t>:</w:t>
      </w:r>
    </w:p>
    <w:p w:rsidR="00885C0C" w:rsidRDefault="00885C0C" w:rsidP="00885C0C">
      <w:pPr>
        <w:pStyle w:val="AufzhlungVerfgung"/>
        <w:numPr>
          <w:ilvl w:val="0"/>
          <w:numId w:val="8"/>
        </w:numPr>
        <w:spacing w:line="280" w:lineRule="atLeast"/>
        <w:rPr>
          <w:lang w:eastAsia="de-DE"/>
        </w:rPr>
      </w:pPr>
      <w:r>
        <w:t>{{ALLE_</w:t>
      </w:r>
      <w:r w:rsidRPr="000F5972">
        <w:t>PROJEKTVERFASSER_NAME_ADRESSE</w:t>
      </w:r>
      <w:r>
        <w:t xml:space="preserve"> | </w:t>
      </w:r>
      <w:proofErr w:type="spellStart"/>
      <w:r>
        <w:t>multiline</w:t>
      </w:r>
      <w:proofErr w:type="spellEnd"/>
      <w:r>
        <w:t>}}</w:t>
      </w:r>
    </w:p>
    <w:p w:rsidR="00885C0C" w:rsidRPr="005854D3" w:rsidRDefault="00885C0C" w:rsidP="00885C0C">
      <w:pPr>
        <w:pStyle w:val="AufzhlungVerfgung"/>
        <w:numPr>
          <w:ilvl w:val="0"/>
          <w:numId w:val="8"/>
        </w:numPr>
        <w:spacing w:line="280" w:lineRule="atLeast"/>
      </w:pPr>
      <w:r>
        <w:rPr>
          <w:lang w:eastAsia="de-DE"/>
        </w:rPr>
        <w:t>{{GEMEINDE_NAME_ADRESSE</w:t>
      </w:r>
      <w:proofErr w:type="gramStart"/>
      <w:r>
        <w:rPr>
          <w:lang w:eastAsia="de-DE"/>
        </w:rPr>
        <w:t>}}</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_AL</w:t>
      </w:r>
      <w:r>
        <w:t>LE</w:t>
      </w:r>
      <w:r w:rsidRPr="005854D3">
        <w:t xml:space="preserve"> %}</w:t>
      </w:r>
    </w:p>
    <w:p w:rsidR="00885C0C" w:rsidRDefault="00885C0C" w:rsidP="00885C0C">
      <w:pPr>
        <w:pStyle w:val="AufzhlungVerfgung"/>
        <w:numPr>
          <w:ilvl w:val="0"/>
          <w:numId w:val="8"/>
        </w:numPr>
        <w:spacing w:line="280" w:lineRule="atLeast"/>
      </w:pPr>
      <w:proofErr w:type="gramStart"/>
      <w:r w:rsidRPr="005854D3">
        <w:t>{{ fachstelle.NAME</w:t>
      </w:r>
      <w:proofErr w:type="gramEnd"/>
      <w:r w:rsidRPr="005854D3">
        <w:t xml:space="preserve"> }}{% </w:t>
      </w:r>
      <w:proofErr w:type="spellStart"/>
      <w:r w:rsidRPr="005854D3">
        <w:t>endfor</w:t>
      </w:r>
      <w:proofErr w:type="spellEnd"/>
      <w:r w:rsidRPr="005854D3">
        <w:t xml:space="preserve"> %}</w:t>
      </w:r>
    </w:p>
    <w:p w:rsidR="00885C0C" w:rsidRDefault="00885C0C" w:rsidP="00885C0C">
      <w:pPr>
        <w:pStyle w:val="AufzhlungVerfgung"/>
        <w:numPr>
          <w:ilvl w:val="0"/>
          <w:numId w:val="8"/>
        </w:numPr>
        <w:spacing w:line="280" w:lineRule="atLeast"/>
      </w:pPr>
      <w:r>
        <w:rPr>
          <w:lang w:eastAsia="de-DE"/>
        </w:rPr>
        <w:fldChar w:fldCharType="begin">
          <w:ffData>
            <w:name w:val=""/>
            <w:enabled/>
            <w:calcOnExit w:val="0"/>
            <w:ddList>
              <w:listEntry w:val="Opposant(s)"/>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885C0C" w:rsidRDefault="00885C0C" w:rsidP="00885C0C">
      <w:pPr>
        <w:pStyle w:val="AufzhlungVerfgung"/>
        <w:numPr>
          <w:ilvl w:val="0"/>
          <w:numId w:val="8"/>
        </w:numPr>
        <w:spacing w:line="280" w:lineRule="atLeast"/>
      </w:pPr>
      <w:r>
        <w:rPr>
          <w:lang w:val="fr-CH" w:eastAsia="de-DE"/>
        </w:rPr>
        <w:fldChar w:fldCharType="begin">
          <w:ffData>
            <w:name w:val=""/>
            <w:enabled/>
            <w:calcOnExit w:val="0"/>
            <w:ddList>
              <w:listEntry w:val="autres"/>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885C0C" w:rsidRPr="00885C0C" w:rsidRDefault="00885C0C" w:rsidP="00885C0C">
      <w:pPr>
        <w:pStyle w:val="AufzhlungVerfgung"/>
        <w:rPr>
          <w:lang w:val="fr-CH"/>
        </w:rPr>
      </w:pPr>
      <w:r>
        <w:rPr>
          <w:lang w:val="fr-CH" w:eastAsia="de-DE"/>
        </w:rPr>
        <w:fldChar w:fldCharType="begin">
          <w:ffData>
            <w:name w:val=""/>
            <w:enabled/>
            <w:calcOnExit w:val="0"/>
            <w:ddList>
              <w:listEntry w:val="par voie intern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bookmarkStart w:id="1" w:name="_GoBack"/>
      <w:bookmarkEnd w:id="1"/>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885C0C" w:rsidRDefault="0010791D" w:rsidP="00000B2C">
            <w:pPr>
              <w:pStyle w:val="KeinLeerraum"/>
              <w:keepNext/>
              <w:keepLines/>
              <w:rPr>
                <w:lang w:val="fr-CH"/>
              </w:rPr>
            </w:pPr>
            <w:r w:rsidRPr="00885C0C">
              <w:rPr>
                <w:lang w:val="fr-CH"/>
              </w:rPr>
              <w:t>Préfecture du/de</w:t>
            </w:r>
          </w:p>
          <w:p w:rsidR="00496AC7" w:rsidRPr="00885C0C" w:rsidRDefault="00000B2C" w:rsidP="00000B2C">
            <w:pPr>
              <w:pStyle w:val="KeinLeerraum"/>
              <w:keepNext/>
              <w:keepLines/>
              <w:rPr>
                <w:lang w:val="fr-CH"/>
              </w:rPr>
            </w:pPr>
            <w:r w:rsidRPr="00885C0C">
              <w:rPr>
                <w:lang w:val="fr-CH"/>
              </w:rPr>
              <w:t>{{MEINE_ORGANISATION_NAME_KURZ}}</w:t>
            </w:r>
          </w:p>
          <w:p w:rsidR="00496AC7" w:rsidRPr="00885C0C" w:rsidRDefault="00496AC7" w:rsidP="00F92689">
            <w:pPr>
              <w:pStyle w:val="KeinLeerraum"/>
              <w:keepNext/>
              <w:keepLines/>
              <w:rPr>
                <w:lang w:val="fr-CH"/>
              </w:rPr>
            </w:pPr>
          </w:p>
          <w:p w:rsidR="00496AC7" w:rsidRPr="00885C0C" w:rsidRDefault="00496AC7" w:rsidP="00F92689">
            <w:pPr>
              <w:pStyle w:val="KeinLeerraum"/>
              <w:keepNext/>
              <w:keepLines/>
              <w:rPr>
                <w:lang w:val="fr-CH"/>
              </w:rPr>
            </w:pPr>
          </w:p>
          <w:p w:rsidR="00496AC7" w:rsidRPr="00885C0C" w:rsidRDefault="00496AC7" w:rsidP="00F92689">
            <w:pPr>
              <w:pStyle w:val="KeinLeerraum"/>
              <w:keepNext/>
              <w:keepLines/>
              <w:rPr>
                <w:lang w:val="fr-CH"/>
              </w:rPr>
            </w:pPr>
          </w:p>
          <w:p w:rsidR="00496AC7" w:rsidRPr="00885C0C" w:rsidRDefault="00496AC7" w:rsidP="00F92689">
            <w:pPr>
              <w:pStyle w:val="KeinLeerraum"/>
              <w:keepNext/>
              <w:keepLines/>
              <w:rPr>
                <w:lang w:val="fr-CH"/>
              </w:rPr>
            </w:pPr>
          </w:p>
          <w:p w:rsidR="0010791D" w:rsidRDefault="0010791D" w:rsidP="0010791D">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885C0C">
              <w:rPr>
                <w:lang w:val="fr-CH" w:eastAsia="de-DE"/>
              </w:rPr>
            </w:r>
            <w:r w:rsidR="00885C0C">
              <w:rPr>
                <w:lang w:val="fr-CH" w:eastAsia="de-DE"/>
              </w:rPr>
              <w:fldChar w:fldCharType="separate"/>
            </w:r>
            <w:r w:rsidRPr="00AE0CC4">
              <w:rPr>
                <w:lang w:val="fr-CH" w:eastAsia="de-DE"/>
              </w:rPr>
              <w:fldChar w:fldCharType="end"/>
            </w:r>
          </w:p>
          <w:p w:rsidR="00496AC7" w:rsidRDefault="0010791D" w:rsidP="0010791D">
            <w:pPr>
              <w:pStyle w:val="KeinLeerraum"/>
              <w:keepNext/>
              <w:keepLines/>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885C0C">
              <w:rPr>
                <w:lang w:val="fr-CH" w:eastAsia="de-DE"/>
              </w:rPr>
            </w:r>
            <w:r w:rsidR="00885C0C">
              <w:rPr>
                <w:lang w:val="fr-CH" w:eastAsia="de-DE"/>
              </w:rPr>
              <w:fldChar w:fldCharType="separate"/>
            </w:r>
            <w:r>
              <w:rPr>
                <w:lang w:val="fr-CH" w:eastAsia="de-DE"/>
              </w:rPr>
              <w:fldChar w:fldCharType="end"/>
            </w:r>
          </w:p>
        </w:tc>
      </w:tr>
    </w:tbl>
    <w:p w:rsidR="00496AC7" w:rsidRDefault="00496AC7" w:rsidP="00496AC7">
      <w:pPr>
        <w:pStyle w:val="KeinLeerraum"/>
      </w:pPr>
    </w:p>
    <w:p w:rsidR="00496AC7" w:rsidRPr="00B70428" w:rsidRDefault="0010791D" w:rsidP="00F92689">
      <w:pPr>
        <w:pStyle w:val="RM-Belehrungberschrift"/>
        <w:rPr>
          <w:lang w:val="fr-CH"/>
        </w:rPr>
      </w:pPr>
      <w:r>
        <w:rPr>
          <w:lang w:val="fr-CH"/>
        </w:rPr>
        <w:t>Voies de recours</w:t>
      </w:r>
    </w:p>
    <w:p w:rsidR="00496AC7" w:rsidRPr="0010791D" w:rsidRDefault="0010791D" w:rsidP="00000B2C">
      <w:pPr>
        <w:pStyle w:val="RM-BelehrungText"/>
        <w:rPr>
          <w:lang w:val="fr-CH"/>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496AC7" w:rsidRPr="0010791D"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885C0C">
                            <w:t>2</w:t>
                          </w:r>
                          <w:r w:rsidRPr="00495178">
                            <w:fldChar w:fldCharType="end"/>
                          </w:r>
                          <w:r w:rsidRPr="00495178">
                            <w:t>/</w:t>
                          </w:r>
                          <w:r w:rsidR="00885C0C">
                            <w:fldChar w:fldCharType="begin"/>
                          </w:r>
                          <w:r w:rsidR="00885C0C">
                            <w:instrText xml:space="preserve"> NUMPAGES   \* MERGEFORMAT </w:instrText>
                          </w:r>
                          <w:r w:rsidR="00885C0C">
                            <w:fldChar w:fldCharType="separate"/>
                          </w:r>
                          <w:r w:rsidR="00885C0C">
                            <w:t>2</w:t>
                          </w:r>
                          <w:r w:rsidR="00885C0C">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885C0C">
                      <w:t>2</w:t>
                    </w:r>
                    <w:r w:rsidRPr="00495178">
                      <w:fldChar w:fldCharType="end"/>
                    </w:r>
                    <w:r w:rsidRPr="00495178">
                      <w:t>/</w:t>
                    </w:r>
                    <w:r w:rsidR="00885C0C">
                      <w:fldChar w:fldCharType="begin"/>
                    </w:r>
                    <w:r w:rsidR="00885C0C">
                      <w:instrText xml:space="preserve"> NUMPAGES   \* MERGEFORMAT </w:instrText>
                    </w:r>
                    <w:r w:rsidR="00885C0C">
                      <w:fldChar w:fldCharType="separate"/>
                    </w:r>
                    <w:r w:rsidR="00885C0C">
                      <w:t>2</w:t>
                    </w:r>
                    <w:r w:rsidR="00885C0C">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885C0C" w:rsidRPr="00B56709" w:rsidRDefault="00885C0C" w:rsidP="00885C0C">
      <w:pPr>
        <w:pStyle w:val="Funotentext"/>
        <w:rPr>
          <w:lang w:val="fr-CH"/>
        </w:rPr>
      </w:pPr>
      <w:r>
        <w:rPr>
          <w:rStyle w:val="Funotenzeichen"/>
        </w:rPr>
        <w:footnoteRef/>
      </w:r>
      <w:r w:rsidRPr="00B56709">
        <w:rPr>
          <w:lang w:val="fr-CH"/>
        </w:rPr>
        <w:t xml:space="preserve"> </w:t>
      </w:r>
      <w:r>
        <w:rPr>
          <w:lang w:val="fr-CH"/>
        </w:rPr>
        <w:t>Article 38 de la loi sur la procédure et la juridiction administratives (LPJA; RSB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85C0C"/>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0428"/>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A64CDAB"/>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9"/>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7F7F-7AE8-4CC0-89D6-52B266C2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291</Words>
  <Characters>1838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2021-11-18T11:02:00Z</dcterms:modified>
</cp:coreProperties>
</file>