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 xml:space="preserve">{% </w:t>
      </w:r>
      <w:r>
        <w:rPr>
          <w:rFonts w:cs="Arial"/>
          <w:color w:val="808080"/>
          <w:sz w:val="32"/>
          <w:szCs w:val="32"/>
          <w:lang w:val="fr-CH"/>
        </w:rPr>
        <w:t>if formType %}{</w:t>
      </w:r>
      <w:r>
        <w:rPr>
          <w:rFonts w:cs="Arial"/>
          <w:color w:val="808080"/>
          <w:sz w:val="32"/>
          <w:szCs w:val="32"/>
          <w:lang w:val="fr-CH"/>
        </w:rPr>
        <w:t>{ formType }}</w:t>
      </w:r>
      <w:r>
        <w:rPr>
          <w:rFonts w:cs="Arial"/>
          <w:color w:val="808080"/>
          <w:sz w:val="32"/>
          <w:szCs w:val="32"/>
          <w:lang w:val="fr-CH"/>
        </w:rPr>
        <w:t>{% endif %}</w:t>
      </w:r>
      <w:r>
        <w:rPr>
          <w:rFonts w:cs="Arial"/>
          <w:color w:val="808080"/>
          <w:sz w:val="32"/>
          <w:szCs w:val="32"/>
          <w:lang w:val="fr-CH"/>
        </w:rPr>
        <w:t xml:space="preserve"> </w:t>
        <w:br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LibreOffice/6.4.7.2$Linux_X86_64 LibreOffice_project/40$Build-2</Application>
  <Pages>3</Pages>
  <Words>662</Words>
  <Characters>3893</Characters>
  <CharactersWithSpaces>4478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2022-02-23T09:14:24Z</dcterms:modified>
  <cp:revision>354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