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w:t>
            </w:r>
            <w:bookmarkStart w:id="0" w:name="_GoBack"/>
            <w:bookmarkEnd w:id="0"/>
            <w:r>
              <w:rPr>
                <w:rStyle w:val="PlaceholderText"/>
                <w:color w:val="auto"/>
              </w:rPr>
              <w:t>E_ID}}</w:t>
            </w:r>
          </w:p>
        </w:tc>
      </w:tr>
    </w:tbl>
    <w:tbl>
      <w:tblPr>
        <w:tblpPr w:bottomFromText="0" w:horzAnchor="margin" w:leftFromText="141" w:rightFromText="141" w:tblpX="0" w:tblpXSpec="right" w:tblpY="-359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rPr/>
            </w:pPr>
            <w:r>
              <w:rPr>
                <w:rFonts w:eastAsia="Times New Roman" w:cs="Arial"/>
                <w:szCs w:val="20"/>
                <w:lang w:eastAsia="de-DE"/>
              </w:rPr>
              <w:t xml:space="preserve">Gemeinde </w:t>
            </w:r>
            <w:r>
              <w:rPr/>
              <w:t>{{MUNICIPALITY}}</w:t>
              <w:br/>
            </w:r>
            <w:r>
              <w:rPr>
                <w:highlight w:val="green"/>
              </w:rPr>
              <w:t>GD_Strasse</w:t>
            </w:r>
            <w:r>
              <w:rPr/>
              <w:br/>
            </w:r>
            <w:r>
              <w:rPr>
                <w:highlight w:val="green"/>
              </w:rPr>
              <w:t>GD_PLZ</w:t>
            </w:r>
            <w:r>
              <w:rPr/>
              <w:t xml:space="preserve"> </w:t>
            </w:r>
            <w:r>
              <w:rPr>
                <w:highlight w:val="green"/>
              </w:rPr>
              <w:t>GD_Ort</w:t>
            </w:r>
          </w:p>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rStyle w:val="PlaceholderText"/>
          <w:color w:val="auto"/>
        </w:rPr>
        <w:t>Amtsbericht</w:t>
      </w:r>
      <w:r>
        <w:rPr>
          <w:rStyle w:val="FootnoteAnchor"/>
          <w:rStyle w:val="FootnoteAnchor"/>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263"/>
        <w:gridCol w:w="7168"/>
      </w:tblGrid>
      <w:tr>
        <w:trPr>
          <w:cantSplit w:val="true"/>
        </w:trPr>
        <w:tc>
          <w:tcPr>
            <w:tcW w:w="2263" w:type="dxa"/>
            <w:tcBorders/>
            <w:shd w:fill="auto" w:val="clear"/>
          </w:tcPr>
          <w:p>
            <w:pPr>
              <w:pStyle w:val="Normal"/>
              <w:widowControl/>
              <w:suppressAutoHyphens w:val="false"/>
              <w:overflowPunct w:val="true"/>
              <w:bidi w:val="0"/>
              <w:spacing w:lineRule="atLeast" w:line="280" w:before="0" w:after="220"/>
              <w:jc w:val="left"/>
              <w:rPr/>
            </w:pPr>
            <w:r>
              <w:rPr/>
              <w:t>Gemeinde</w:t>
            </w:r>
          </w:p>
        </w:tc>
        <w:tc>
          <w:tcPr>
            <w:tcW w:w="7168" w:type="dxa"/>
            <w:tcBorders/>
            <w:shd w:fill="auto" w:val="clear"/>
          </w:tcPr>
          <w:p>
            <w:pPr>
              <w:pStyle w:val="Normal"/>
              <w:widowControl/>
              <w:suppressAutoHyphens w:val="false"/>
              <w:overflowPunct w:val="true"/>
              <w:bidi w:val="0"/>
              <w:spacing w:lineRule="atLeast" w:line="280" w:before="0" w:after="220"/>
              <w:jc w:val="left"/>
              <w:rPr/>
            </w:pPr>
            <w:r>
              <w:rPr/>
              <w:t>{{MUNICIPALITY}}</w:t>
            </w:r>
          </w:p>
        </w:tc>
      </w:tr>
      <w:tr>
        <w:trPr>
          <w:cantSplit w:val="true"/>
        </w:trPr>
        <w:tc>
          <w:tcPr>
            <w:tcW w:w="2263" w:type="dxa"/>
            <w:tcBorders/>
            <w:shd w:fill="auto" w:val="clear"/>
          </w:tcPr>
          <w:p>
            <w:pPr>
              <w:pStyle w:val="Normal"/>
              <w:widowControl/>
              <w:suppressAutoHyphens w:val="false"/>
              <w:overflowPunct w:val="true"/>
              <w:bidi w:val="0"/>
              <w:spacing w:lineRule="atLeast" w:line="280" w:before="0" w:after="220"/>
              <w:jc w:val="left"/>
              <w:rPr/>
            </w:pPr>
            <w:r>
              <w:rPr/>
              <w:t>Bauherrschaft</w:t>
            </w:r>
          </w:p>
        </w:tc>
        <w:tc>
          <w:tcPr>
            <w:tcW w:w="7168" w:type="dxa"/>
            <w:tcBorders/>
            <w:shd w:fill="auto" w:val="clear"/>
          </w:tcPr>
          <w:p>
            <w:pPr>
              <w:pStyle w:val="Normal"/>
              <w:widowControl/>
              <w:suppressAutoHyphens w:val="false"/>
              <w:overflowPunct w:val="true"/>
              <w:bidi w:val="0"/>
              <w:spacing w:lineRule="atLeast" w:line="280" w:before="0" w:after="220"/>
              <w:jc w:val="left"/>
              <w:rPr/>
            </w:pPr>
            <w:r>
              <w:rPr>
                <w:b/>
                <w:szCs w:val="24"/>
              </w:rPr>
              <w:t>{{GESUCHSTELLER_NAME_ADDRESS}}</w:t>
            </w:r>
            <w:r>
              <w:rPr>
                <w:szCs w:val="24"/>
              </w:rPr>
              <w:t>{{VERTRETER_NAME_ADDRESS and ", vertreten durch " + VERTRETER_NAME_ADDRESS}}</w:t>
            </w:r>
          </w:p>
        </w:tc>
      </w:tr>
      <w:tr>
        <w:trPr>
          <w:cantSplit w:val="true"/>
        </w:trPr>
        <w:tc>
          <w:tcPr>
            <w:tcW w:w="2263" w:type="dxa"/>
            <w:tcBorders/>
            <w:shd w:fill="auto" w:val="clear"/>
          </w:tcPr>
          <w:p>
            <w:pPr>
              <w:pStyle w:val="Normal"/>
              <w:widowControl/>
              <w:suppressAutoHyphens w:val="false"/>
              <w:overflowPunct w:val="true"/>
              <w:bidi w:val="0"/>
              <w:spacing w:lineRule="atLeast" w:line="280" w:before="0" w:after="220"/>
              <w:jc w:val="left"/>
              <w:rPr/>
            </w:pPr>
            <w:r>
              <w:rPr/>
              <w:t>Bauvorhaben</w:t>
            </w:r>
          </w:p>
        </w:tc>
        <w:tc>
          <w:tcPr>
            <w:tcW w:w="7168" w:type="dxa"/>
            <w:tcBorders/>
            <w:shd w:fill="auto" w:val="clear"/>
          </w:tcPr>
          <w:p>
            <w:pPr>
              <w:pStyle w:val="Normal"/>
              <w:widowControl/>
              <w:suppressAutoHyphens w:val="false"/>
              <w:overflowPunct w:val="true"/>
              <w:bidi w:val="0"/>
              <w:spacing w:lineRule="atLeast" w:line="280" w:before="0" w:after="220"/>
              <w:jc w:val="left"/>
              <w:rPr>
                <w:b/>
                <w:b/>
                <w:bCs/>
              </w:rPr>
            </w:pPr>
            <w:r>
              <w:rPr>
                <w:b/>
                <w:bCs/>
              </w:rPr>
              <w:t>{{BAUVORHABEN}}</w:t>
            </w:r>
          </w:p>
        </w:tc>
      </w:tr>
      <w:tr>
        <w:trPr>
          <w:cantSplit w:val="true"/>
        </w:trPr>
        <w:tc>
          <w:tcPr>
            <w:tcW w:w="2263" w:type="dxa"/>
            <w:tcBorders/>
            <w:shd w:fill="auto" w:val="clear"/>
          </w:tcPr>
          <w:p>
            <w:pPr>
              <w:pStyle w:val="Normal"/>
              <w:widowControl/>
              <w:suppressAutoHyphens w:val="false"/>
              <w:overflowPunct w:val="true"/>
              <w:bidi w:val="0"/>
              <w:spacing w:lineRule="atLeast" w:line="280" w:before="0" w:after="220"/>
              <w:jc w:val="left"/>
              <w:rPr/>
            </w:pPr>
            <w:r>
              <w:rPr/>
              <w:t>Standort</w:t>
            </w:r>
          </w:p>
        </w:tc>
        <w:tc>
          <w:tcPr>
            <w:tcW w:w="7168" w:type="dxa"/>
            <w:tcBorders/>
            <w:shd w:fill="auto" w:val="clear"/>
          </w:tcPr>
          <w:p>
            <w:pPr>
              <w:pStyle w:val="Normal"/>
              <w:widowControl/>
              <w:suppressAutoHyphens w:val="false"/>
              <w:overflowPunct w:val="true"/>
              <w:bidi w:val="0"/>
              <w:spacing w:lineRule="atLeast" w:line="280" w:before="0" w:after="220"/>
              <w:jc w:val="left"/>
              <w:rPr>
                <w:highlight w:val="green"/>
              </w:rPr>
            </w:pPr>
            <w:r>
              <w:rPr/>
              <w:t>{{ADDRESS}}, {{PARZELLE}}</w:t>
            </w:r>
          </w:p>
        </w:tc>
      </w:tr>
      <w:tr>
        <w:trPr>
          <w:cantSplit w:val="true"/>
        </w:trPr>
        <w:tc>
          <w:tcPr>
            <w:tcW w:w="2263" w:type="dxa"/>
            <w:tcBorders/>
            <w:shd w:fill="auto" w:val="clear"/>
          </w:tcPr>
          <w:p>
            <w:pPr>
              <w:pStyle w:val="Normal"/>
              <w:widowControl/>
              <w:suppressAutoHyphens w:val="false"/>
              <w:overflowPunct w:val="true"/>
              <w:bidi w:val="0"/>
              <w:spacing w:lineRule="atLeast" w:line="280" w:before="0" w:after="220"/>
              <w:jc w:val="left"/>
              <w:rPr>
                <w:highlight w:val="green"/>
              </w:rPr>
            </w:pPr>
            <w:r>
              <w:rPr>
                <w:highlight w:val="green"/>
              </w:rPr>
              <w:t>Ausnahme von</w:t>
            </w:r>
          </w:p>
        </w:tc>
        <w:tc>
          <w:tcPr>
            <w:tcW w:w="7168" w:type="dxa"/>
            <w:tcBorders/>
            <w:shd w:fill="auto" w:val="clear"/>
          </w:tcPr>
          <w:p>
            <w:pPr>
              <w:pStyle w:val="Normal"/>
              <w:spacing w:before="0" w:after="220"/>
              <w:rPr>
                <w:highlight w:val="green"/>
              </w:rPr>
            </w:pPr>
            <w:r>
              <w:rPr>
                <w:highlight w:val="green"/>
              </w:rPr>
            </w:r>
          </w:p>
        </w:tc>
      </w:tr>
      <w:tr>
        <w:trPr>
          <w:cantSplit w:val="true"/>
        </w:trPr>
        <w:tc>
          <w:tcPr>
            <w:tcW w:w="2263" w:type="dxa"/>
            <w:tcBorders/>
            <w:shd w:fill="auto" w:val="clear"/>
          </w:tcPr>
          <w:p>
            <w:pPr>
              <w:pStyle w:val="Normal"/>
              <w:widowControl/>
              <w:suppressAutoHyphens w:val="false"/>
              <w:overflowPunct w:val="true"/>
              <w:bidi w:val="0"/>
              <w:spacing w:lineRule="atLeast" w:line="280" w:before="0" w:after="220"/>
              <w:jc w:val="left"/>
              <w:rPr/>
            </w:pPr>
            <w:r>
              <w:rPr/>
              <w:t>Beurteilungsgrundlagen</w:t>
            </w:r>
          </w:p>
        </w:tc>
        <w:tc>
          <w:tcPr>
            <w:tcW w:w="7168" w:type="dxa"/>
            <w:tcBorders/>
            <w:shd w:fill="auto" w:val="clear"/>
          </w:tcPr>
          <w:p>
            <w:pPr>
              <w:pStyle w:val="Normal"/>
              <w:widowControl/>
              <w:suppressAutoHyphens w:val="false"/>
              <w:overflowPunct w:val="true"/>
              <w:bidi w:val="0"/>
              <w:spacing w:lineRule="atLeast" w:line="280" w:before="0" w:after="220"/>
              <w:jc w:val="left"/>
              <w:rPr/>
            </w:pPr>
            <w:r>
              <w:rPr/>
              <w:t>Baugesuch vom {{BAUEINGABE_DATUM}}</w:t>
            </w:r>
            <w:r>
              <w:rPr>
                <w:highlight w:val="green"/>
              </w:rPr>
              <w:br/>
              <w:t>Pläne vom</w:t>
            </w:r>
          </w:p>
        </w:tc>
      </w:tr>
    </w:tbl>
    <w:p>
      <w:pPr>
        <w:pStyle w:val="Heading1"/>
        <w:numPr>
          <w:ilvl w:val="0"/>
          <w:numId w:val="2"/>
        </w:numPr>
        <w:ind w:left="709" w:hanging="709"/>
        <w:rPr/>
      </w:pPr>
      <w:r>
        <w:rPr/>
        <w:t>Erwägungen</w:t>
      </w:r>
    </w:p>
    <w:p>
      <w:pPr>
        <w:pStyle w:val="Heading2"/>
        <w:numPr>
          <w:ilvl w:val="1"/>
          <w:numId w:val="2"/>
        </w:numPr>
        <w:ind w:left="709" w:hanging="709"/>
        <w:rPr/>
      </w:pPr>
      <w:r>
        <w:rPr/>
        <w:t xml:space="preserve">Die Bauherrschaft beabsichtigt, </w:t>
      </w:r>
      <w:r>
        <w:rPr>
          <w:highlight w:val="green"/>
        </w:rPr>
        <w:t>Umschreibung Bauvorhaben</w:t>
      </w:r>
      <w:r>
        <w:rPr/>
        <w:t xml:space="preserve">. Dabei wird </w:t>
      </w:r>
      <w:r>
        <w:rPr>
          <w:highlight w:val="green"/>
        </w:rPr>
        <w:t>Ausnahme</w:t>
      </w:r>
      <w:r>
        <w:rPr/>
        <w:t xml:space="preserve"> unterschritten. Im Ausnahmegesuch vom </w:t>
      </w:r>
      <w:r>
        <w:rPr>
          <w:highlight w:val="green"/>
        </w:rPr>
        <w:t>Datum</w:t>
      </w:r>
      <w:r>
        <w:rPr/>
        <w:t xml:space="preserve"> begründet die Bauherrschaft die Ausnahme damit, dass</w:t>
      </w:r>
      <w:bookmarkStart w:id="1" w:name="__Fieldmark__126_1301528677"/>
      <w:bookmarkStart w:id="2" w:name="__Fieldmark__6693_2528924149"/>
      <w:bookmarkEnd w:id="1"/>
      <w:bookmarkEnd w:id="2"/>
      <w:r>
        <w:rPr/>
        <w:t xml:space="preserve"> </w:t>
      </w:r>
      <w:r>
        <w:rPr>
          <w:highlight w:val="green"/>
        </w:rPr>
        <w:t>Begründung Ausnahme</w:t>
      </w:r>
      <w:bookmarkStart w:id="3" w:name="__Fieldmark__136_4250330669"/>
      <w:bookmarkEnd w:id="3"/>
      <w:r>
        <w:rPr/>
        <w:t>.</w:t>
      </w:r>
    </w:p>
    <w:p>
      <w:pPr>
        <w:pStyle w:val="Heading2"/>
        <w:numPr>
          <w:ilvl w:val="1"/>
          <w:numId w:val="2"/>
        </w:numPr>
        <w:ind w:left="709" w:hanging="709"/>
        <w:rPr/>
      </w:pPr>
      <w:r>
        <w:rPr/>
        <w:t>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(Lastenausgleich gemäss Art. 30 f BauG).</w:t>
      </w:r>
    </w:p>
    <w:p>
      <w:pPr>
        <w:pStyle w:val="Heading2"/>
        <w:numPr>
          <w:ilvl w:val="0"/>
          <w:numId w:val="0"/>
        </w:numPr>
        <w:ind w:left="576" w:hanging="0"/>
        <w:rPr/>
      </w:pPr>
      <w:r>
        <w:rPr/>
        <w:t>Anhand der Unterlagen beurteilt das {{LEITBEHOERDE_NAME}} die Begründung der Bauherrschaft als nachvollziehbar dargelegt und die besonderen Verhältnisse, die es rechtfertigen, die Ausnahme zu gewähren, sind nachgewiesen. Es sind keine</w:t>
      </w:r>
      <w:bookmarkStart w:id="4" w:name="__Fieldmark__140_1301528677"/>
      <w:bookmarkStart w:id="5" w:name="__Fieldmark__6704_2528924149"/>
      <w:bookmarkEnd w:id="4"/>
      <w:bookmarkEnd w:id="5"/>
      <w:r>
        <w:rPr/>
        <w:t xml:space="preserve"> </w:t>
      </w:r>
      <w:r>
        <w:rPr>
          <w:highlight w:val="green"/>
        </w:rPr>
        <w:t>??</w:t>
      </w:r>
      <w:r>
        <w:rPr/>
        <w:t xml:space="preserve"> öffentlichen Interessen </w:t>
      </w:r>
      <w:r>
        <w:rPr>
          <w:color w:val="FF0000"/>
        </w:rPr>
        <w:t xml:space="preserve">hinsichtlich Sicherheit </w:t>
      </w:r>
      <w:r>
        <w:rPr>
          <w:color w:val="FF0000"/>
          <w:highlight w:val="green"/>
        </w:rPr>
        <w:t>oder</w:t>
      </w:r>
      <w:r>
        <w:rPr>
          <w:color w:val="FF0000"/>
        </w:rPr>
        <w:t xml:space="preserve"> </w:t>
      </w:r>
      <w:bookmarkStart w:id="6" w:name="__Fieldmark__164_4250330669"/>
      <w:bookmarkEnd w:id="6"/>
      <w:r>
        <w:rPr>
          <w:color w:val="FF0000"/>
        </w:rPr>
        <w:t>Gesundheit</w:t>
      </w:r>
      <w:r>
        <w:rPr/>
        <w:t xml:space="preserve"> beeinträchtigt. Überdies sind keine </w:t>
      </w:r>
      <w:r>
        <w:rPr>
          <w:highlight w:val="green"/>
        </w:rPr>
        <w:t>??</w:t>
      </w:r>
      <w:r>
        <w:rPr/>
        <w:t xml:space="preserve"> wesentlichen nachbarlichen Interessen ersichtlich, die verletzt sein könnten. </w:t>
      </w:r>
    </w:p>
    <w:p>
      <w:pPr>
        <w:pStyle w:val="Heading2"/>
        <w:numPr>
          <w:ilvl w:val="0"/>
          <w:numId w:val="0"/>
        </w:numPr>
        <w:ind w:left="576" w:hanging="0"/>
        <w:rPr/>
      </w:pPr>
      <w:r>
        <w:rPr>
          <w:color w:val="FF0000"/>
        </w:rPr>
        <w:t>Negativ:</w:t>
      </w:r>
    </w:p>
    <w:p>
      <w:pPr>
        <w:pStyle w:val="Heading2"/>
        <w:numPr>
          <w:ilvl w:val="0"/>
          <w:numId w:val="0"/>
        </w:numPr>
        <w:ind w:left="576" w:hanging="0"/>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576" w:hanging="0"/>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576" w:hanging="0"/>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576" w:hanging="0"/>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576" w:hanging="0"/>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576" w:hanging="0"/>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hanging="709"/>
        <w:rPr/>
      </w:pPr>
      <w:r>
        <w:rPr/>
        <w:t>Antrag</w:t>
      </w:r>
    </w:p>
    <w:p>
      <w:pPr>
        <w:pStyle w:val="Heading2"/>
        <w:numPr>
          <w:ilvl w:val="1"/>
          <w:numId w:val="2"/>
        </w:numPr>
        <w:ind w:left="709"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hanging="709"/>
        <w:rPr/>
      </w:pPr>
      <w:r>
        <w:rPr/>
        <w:t>Nebenbestimmungen</w:t>
      </w:r>
    </w:p>
    <w:p>
      <w:pPr>
        <w:pStyle w:val="Heading3"/>
        <w:numPr>
          <w:ilvl w:val="2"/>
          <w:numId w:val="2"/>
        </w:numPr>
        <w:ind w:left="709" w:hanging="709"/>
        <w:rPr/>
      </w:pPr>
      <w:r>
        <w:rPr/>
      </w:r>
    </w:p>
    <w:p>
      <w:pPr>
        <w:pStyle w:val="Heading2"/>
        <w:numPr>
          <w:ilvl w:val="1"/>
          <w:numId w:val="2"/>
        </w:numPr>
        <w:ind w:left="709" w:hanging="709"/>
        <w:rPr/>
      </w:pPr>
      <w:r>
        <w:rPr/>
        <w:t>Hinweise:</w:t>
      </w:r>
    </w:p>
    <w:p>
      <w:pPr>
        <w:pStyle w:val="Heading3"/>
        <w:numPr>
          <w:ilvl w:val="2"/>
          <w:numId w:val="2"/>
        </w:numPr>
        <w:ind w:left="709" w:hanging="709"/>
        <w:rPr/>
      </w:pPr>
      <w:r>
        <w:rPr/>
        <w:t>Wir erwarten nach Abschluss des Verfahrens eine Kopie des Bauentscheides.</w:t>
      </w:r>
    </w:p>
    <w:p>
      <w:pPr>
        <w:pStyle w:val="Heading2"/>
        <w:numPr>
          <w:ilvl w:val="1"/>
          <w:numId w:val="2"/>
        </w:numPr>
        <w:ind w:left="709" w:hanging="709"/>
        <w:rPr/>
      </w:pPr>
      <w:r>
        <w:rPr/>
        <w:t>Die Gebühren werden auf CHF {{GEBUEHREN_TOTAL}} festgesetzt.</w:t>
      </w:r>
      <w:r>
        <w:rPr>
          <w:rStyle w:val="FootnoteAnchor"/>
          <w:rStyle w:val="FootnoteAnchor"/>
        </w:rPr>
        <w:footnoteReference w:id="3"/>
      </w:r>
      <w:r>
        <w:rPr/>
        <w:t xml:space="preserve"> Die Rechnung folgt mit separater Post.</w:t>
      </w:r>
    </w:p>
    <w:tbl>
      <w:tblPr>
        <w:tblW w:w="3965" w:type="dxa"/>
        <w:jc w:val="left"/>
        <w:tblInd w:w="5502" w:type="dxa"/>
        <w:tblBorders/>
        <w:tblCellMar>
          <w:top w:w="0" w:type="dxa"/>
          <w:left w:w="0" w:type="dxa"/>
          <w:bottom w:w="0" w:type="dxa"/>
          <w:right w:w="0" w:type="dxa"/>
        </w:tblCellMar>
        <w:tblLook w:noVBand="1" w:val="04a0" w:noHBand="0" w:lastColumn="0" w:firstColumn="1" w:lastRow="0" w:firstRow="1"/>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keepNext w:val="true"/>
        <w:rPr/>
      </w:pPr>
      <w:r>
        <w:rPr/>
        <w:t>Beilagen:</w:t>
      </w:r>
    </w:p>
    <w:p>
      <w:pPr>
        <w:pStyle w:val="Verteiler"/>
        <w:numPr>
          <w:ilvl w:val="0"/>
          <w:numId w:val="3"/>
        </w:numPr>
        <w:ind w:left="357" w:hanging="357"/>
        <w:rPr>
          <w:lang w:val="de-DE"/>
        </w:rPr>
      </w:pPr>
      <w:r>
        <w:rPr>
          <w:lang w:val="de-DE"/>
        </w:rPr>
        <w:t xml:space="preserve"> </w:t>
      </w:r>
    </w:p>
    <w:p>
      <w:pPr>
        <w:pStyle w:val="Verteiler"/>
        <w:numPr>
          <w:ilvl w:val="0"/>
          <w:numId w:val="3"/>
        </w:numPr>
        <w:ind w:left="357" w:hanging="357"/>
        <w:rPr>
          <w:lang w:val="de-DE"/>
        </w:rPr>
      </w:pPr>
      <w:r>
        <w:rPr>
          <w:lang w:val="de-DE"/>
        </w:rPr>
      </w:r>
    </w:p>
    <w:p>
      <w:pPr>
        <w:pStyle w:val="NoSpacing"/>
        <w:keepNext w:val="true"/>
        <w:rPr/>
      </w:pPr>
      <w:r>
        <w:rPr/>
        <w:t>Kopie an:</w:t>
      </w:r>
    </w:p>
    <w:p>
      <w:pPr>
        <w:pStyle w:val="Verteiler"/>
        <w:numPr>
          <w:ilvl w:val="0"/>
          <w:numId w:val="3"/>
        </w:numPr>
        <w:ind w:left="357" w:hanging="357"/>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27 Baugesetz vom 9. Juni 1985 (BauG; BSG 721).</w:t>
      </w:r>
    </w:p>
  </w:footnote>
  <w:footnote w:id="3">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color w:val="auto"/>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Times New Roman" w:cs="Arial"/>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9" w:customStyle="1">
    <w:name w:val="ListLabel 49"/>
    <w:qFormat/>
    <w:rPr>
      <w:rFonts w:cs="Aria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Aria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Aria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Aria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Aria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Aria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Aria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name w:val="ListLabel 130"/>
    <w:qFormat/>
    <w:rPr>
      <w:rFonts w:cs="Aria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Aria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Aria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hanging="113"/>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4</Pages>
  <Words>677</Words>
  <Characters>4839</Characters>
  <CharactersWithSpaces>5451</CharactersWithSpaces>
  <Paragraphs>56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2019-11-26T16:00:00Z</dcterms:created>
  <dc:creator/>
  <dc:description/>
  <dc:language>en-US</dc:language>
  <cp:lastModifiedBy/>
  <cp:lastPrinted>2018-06-20T05:50:00Z</cp:lastPrinted>
  <dcterms:modified xsi:type="dcterms:W3CDTF">2019-12-17T15:05:02Z</dcterms:modified>
  <cp:revision>58</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