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Unsere Referenz</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rPr/>
            </w:pPr>
            <w:r>
              <w:rPr>
                <w:rFonts w:eastAsia="Times New Roman" w:cs="Arial"/>
                <w:szCs w:val="20"/>
                <w:lang w:eastAsia="de-DE"/>
              </w:rPr>
              <w:t xml:space="preserve">Gemeinde </w:t>
            </w:r>
            <w:r>
              <w:rPr/>
              <w:t>{{MUNICIPALITY}}</w:t>
              <w:br/>
            </w:r>
            <w:r>
              <w:rPr>
                <w:highlight w:val="green"/>
              </w:rPr>
              <w:t>«GD_Strasse»</w:t>
            </w:r>
            <w:r>
              <w:rPr/>
              <w:br/>
            </w:r>
            <w:r>
              <w:rPr>
                <w:highlight w:val="green"/>
              </w:rPr>
              <w:t>«GD_PLZ»</w:t>
            </w:r>
            <w:r>
              <w:rPr/>
              <w:t xml:space="preserve"> </w:t>
            </w:r>
            <w:r>
              <w:rPr>
                <w:highlight w:val="green"/>
              </w:rPr>
              <w:t>«GD_Ort»</w:t>
            </w:r>
          </w:p>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Amtsbericht</w:t>
      </w:r>
      <w:r>
        <w:rPr>
          <w:rStyle w:val="FootnoteAnchor"/>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widowControl/>
              <w:suppressAutoHyphens w:val="false"/>
              <w:bidi w:val="0"/>
              <w:spacing w:lineRule="atLeast" w:line="280" w:before="0" w:after="220"/>
              <w:jc w:val="left"/>
              <w:rPr/>
            </w:pPr>
            <w:r>
              <w:rPr>
                <w:b/>
                <w:szCs w:val="24"/>
              </w:rPr>
              <w:t xml:space="preserve">{{GESUCHSTELLER_NAME_ADDRESS}} </w:t>
            </w:r>
            <w:r>
              <w:rPr>
                <w:szCs w:val="24"/>
              </w:rPr>
              <w:t>{{VERTRETER_NAME_ADDRESS and "</w:t>
            </w:r>
            <w:r>
              <w:rPr>
                <w:szCs w:val="24"/>
              </w:rPr>
              <w:t xml:space="preserve">, vertreten durch </w:t>
            </w:r>
            <w:r>
              <w:rPr>
                <w:szCs w:val="24"/>
              </w:rPr>
              <w:t xml:space="preserve">" + </w:t>
            </w:r>
            <w:r>
              <w:rPr>
                <w:szCs w:val="24"/>
              </w:rPr>
              <w:t>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b/>
                <w:bCs/>
              </w:rPr>
            </w:pPr>
            <w:r>
              <w:rPr>
                <w:b/>
                <w:bCs/>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highlight w:val="green"/>
              </w:rPr>
            </w:pPr>
            <w:r>
              <w:rPr/>
              <w:t>{{ADDRESS}}, {{PARZELLE}}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highlight w:val="green"/>
              </w:rPr>
            </w:pPr>
            <w:r>
              <w:rPr>
                <w:highlight w:val="green"/>
              </w:rPr>
              <w:t>Ausnahme von</w:t>
            </w:r>
          </w:p>
        </w:tc>
        <w:tc>
          <w:tcPr>
            <w:tcW w:w="7376" w:type="dxa"/>
            <w:tcBorders/>
            <w:shd w:fill="auto" w:val="clear"/>
          </w:tcPr>
          <w:p>
            <w:pPr>
              <w:pStyle w:val="Normal"/>
              <w:spacing w:before="0" w:after="220"/>
              <w:rPr>
                <w:highlight w:val="green"/>
              </w:rPr>
            </w:pPr>
            <w:r>
              <w:rPr/>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Beurteilungsgrundlagen</w:t>
            </w:r>
          </w:p>
        </w:tc>
        <w:tc>
          <w:tcPr>
            <w:tcW w:w="7376" w:type="dxa"/>
            <w:tcBorders/>
            <w:shd w:fill="auto" w:val="clear"/>
          </w:tcPr>
          <w:p>
            <w:pPr>
              <w:pStyle w:val="Normal"/>
              <w:widowControl/>
              <w:suppressAutoHyphens w:val="false"/>
              <w:bidi w:val="0"/>
              <w:spacing w:lineRule="atLeast" w:line="280" w:before="0" w:after="220"/>
              <w:jc w:val="left"/>
              <w:rPr/>
            </w:pPr>
            <w:r>
              <w:rPr/>
              <w:t>Baugesuch vom</w:t>
              <w:br/>
              <w:t>Pläne vom</w:t>
            </w:r>
          </w:p>
        </w:tc>
      </w:tr>
    </w:tbl>
    <w:p>
      <w:pPr>
        <w:pStyle w:val="Heading1"/>
        <w:numPr>
          <w:ilvl w:val="0"/>
          <w:numId w:val="2"/>
        </w:numPr>
        <w:ind w:left="709" w:right="0" w:hanging="709"/>
        <w:rPr/>
      </w:pPr>
      <w:r>
        <w:rPr/>
        <w:t>Erwägungen</w:t>
      </w:r>
    </w:p>
    <w:p>
      <w:pPr>
        <w:pStyle w:val="Heading2"/>
        <w:numPr>
          <w:ilvl w:val="1"/>
          <w:numId w:val="2"/>
        </w:numPr>
        <w:ind w:left="709" w:right="0" w:hanging="709"/>
        <w:rPr/>
      </w:pPr>
      <w:r>
        <w:rPr/>
        <w:t xml:space="preserve">Die Bauherrschaft beabsichtigt, </w:t>
      </w:r>
      <w:r>
        <w:rPr>
          <w:highlight w:val="green"/>
        </w:rPr>
        <w:t>Umschreibung Bauvorhaben</w:t>
      </w:r>
      <w:r>
        <w:rPr/>
        <w:t xml:space="preserve">. Dabei wird </w:t>
      </w:r>
      <w:r>
        <w:rPr>
          <w:highlight w:val="green"/>
        </w:rPr>
        <w:t>Ausnahme</w:t>
      </w:r>
      <w:r>
        <w:rPr>
          <w:highlight w:val="green"/>
        </w:rPr>
        <w:t xml:space="preserve"> </w:t>
      </w:r>
      <w:r>
        <w:rPr/>
        <w:t xml:space="preserve">unterschritten. Im Ausnahmegesuch vom </w:t>
      </w:r>
      <w:r>
        <w:rPr>
          <w:highlight w:val="green"/>
        </w:rPr>
        <w:t>Datum</w:t>
      </w:r>
      <w:r>
        <w:rPr/>
        <w:t xml:space="preserve"> begründet die Bauherrschaft die Ausnahme damit, dass</w:t>
      </w:r>
      <w:bookmarkStart w:id="0" w:name="__Fieldmark__126_1301528677"/>
      <w:bookmarkStart w:id="1" w:name="__Fieldmark__6693_2528924149"/>
      <w:bookmarkEnd w:id="0"/>
      <w:bookmarkEnd w:id="1"/>
      <w:r>
        <w:rPr/>
        <w:t xml:space="preserve"> </w:t>
      </w:r>
      <w:r>
        <w:rPr>
          <w:highlight w:val="green"/>
        </w:rPr>
        <w:t>Begründung Ausnahme</w:t>
      </w:r>
      <w:bookmarkStart w:id="2" w:name="__Fieldmark__136_4250330669"/>
      <w:bookmarkEnd w:id="2"/>
      <w:r>
        <w:rPr/>
        <w:t>.</w:t>
      </w:r>
    </w:p>
    <w:p>
      <w:pPr>
        <w:pStyle w:val="Heading2"/>
        <w:numPr>
          <w:ilvl w:val="1"/>
          <w:numId w:val="2"/>
        </w:numPr>
        <w:ind w:left="709" w:right="0" w:hanging="709"/>
        <w:rPr/>
      </w:pPr>
      <w:r>
        <w:rPr/>
        <w:t xml:space="preserve">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w:t>
      </w:r>
      <w:r>
        <w:rPr>
          <w:highlight w:val="green"/>
        </w:rPr>
        <w:t>(Lastenausgleich gemäss Art. 30 f BauG).</w:t>
      </w:r>
    </w:p>
    <w:p>
      <w:pPr>
        <w:pStyle w:val="Heading2"/>
        <w:numPr>
          <w:ilvl w:val="0"/>
          <w:numId w:val="0"/>
        </w:numPr>
        <w:ind w:left="709" w:right="0" w:hanging="709"/>
        <w:rPr/>
      </w:pPr>
      <w:r>
        <w:rPr/>
        <w:t>Anhand der Unterlagen beurteilt das {{LEITBEHOERDE_NAME}} die Begründung der Bauherrschaft als nachvollziehbar dargelegt und die besonderen Verhältnisse, die es rechtfertigen, die Ausnahme zu gewähren, sind nachgewiesen. Es sind keine</w:t>
      </w:r>
      <w:bookmarkStart w:id="3" w:name="__Fieldmark__140_1301528677"/>
      <w:bookmarkStart w:id="4" w:name="__Fieldmark__6704_2528924149"/>
      <w:bookmarkEnd w:id="3"/>
      <w:bookmarkEnd w:id="4"/>
      <w:r>
        <w:rPr>
          <w:highlight w:val="green"/>
        </w:rPr>
        <w:t xml:space="preserve"> </w:t>
      </w:r>
      <w:r>
        <w:rPr>
          <w:highlight w:val="green"/>
        </w:rPr>
        <w:t xml:space="preserve">(??) </w:t>
      </w:r>
      <w:r>
        <w:rPr/>
        <w:t xml:space="preserve">öffentlichen Interessen </w:t>
      </w:r>
      <w:r>
        <w:rPr>
          <w:color w:val="FF0000"/>
        </w:rPr>
        <w:t xml:space="preserve">hinsichtlich Sicherheit </w:t>
      </w:r>
      <w:r>
        <w:rPr>
          <w:color w:val="FF0000"/>
          <w:highlight w:val="green"/>
        </w:rPr>
        <w:t>oder</w:t>
      </w:r>
      <w:r>
        <w:rPr>
          <w:color w:val="FF0000"/>
        </w:rPr>
        <w:t xml:space="preserve"> </w:t>
      </w:r>
      <w:bookmarkStart w:id="5" w:name="__Fieldmark__164_4250330669"/>
      <w:bookmarkEnd w:id="5"/>
      <w:r>
        <w:rPr>
          <w:color w:val="FF0000"/>
        </w:rPr>
        <w:t>Gesundheit</w:t>
      </w:r>
      <w:r>
        <w:rPr/>
        <w:t xml:space="preserve"> beeinträchtigt. Überdies sind keine</w:t>
      </w:r>
      <w:r>
        <w:rPr>
          <w:highlight w:val="green"/>
        </w:rPr>
        <w:t xml:space="preserve"> </w:t>
      </w:r>
      <w:r>
        <w:rPr>
          <w:highlight w:val="green"/>
        </w:rPr>
        <w:t>(??)</w:t>
      </w:r>
      <w:r>
        <w:rPr>
          <w:highlight w:val="green"/>
        </w:rPr>
        <w:t xml:space="preserve"> </w:t>
      </w:r>
      <w:r>
        <w:rPr/>
        <w:t xml:space="preserve">wesentlichen nachbarlichen Interessen ersichtlich, die verletzt sein könnten. </w:t>
      </w:r>
    </w:p>
    <w:p>
      <w:pPr>
        <w:pStyle w:val="Heading2"/>
        <w:numPr>
          <w:ilvl w:val="0"/>
          <w:numId w:val="0"/>
        </w:numPr>
        <w:ind w:left="709" w:right="0" w:hanging="709"/>
        <w:rPr>
          <w:color w:val="FF0000"/>
        </w:rPr>
      </w:pPr>
      <w:r>
        <w:rPr>
          <w:color w:val="FF0000"/>
        </w:rPr>
        <w:t>negativ:</w:t>
      </w:r>
    </w:p>
    <w:p>
      <w:pPr>
        <w:pStyle w:val="Heading2"/>
        <w:numPr>
          <w:ilvl w:val="0"/>
          <w:numId w:val="0"/>
        </w:numPr>
        <w:ind w:left="709" w:right="0" w:hanging="709"/>
        <w:rPr>
          <w:color w:val="FF0000"/>
        </w:rPr>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pPr>
        <w:pStyle w:val="Heading2"/>
        <w:numPr>
          <w:ilvl w:val="0"/>
          <w:numId w:val="0"/>
        </w:numPr>
        <w:ind w:left="709" w:right="0" w:hanging="709"/>
        <w:rPr>
          <w:color w:val="FF0000"/>
        </w:rPr>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pPr>
        <w:pStyle w:val="Heading2"/>
        <w:numPr>
          <w:ilvl w:val="0"/>
          <w:numId w:val="0"/>
        </w:numPr>
        <w:ind w:left="709" w:right="0" w:hanging="709"/>
        <w:rPr>
          <w:color w:val="FF0000"/>
        </w:rPr>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pPr>
        <w:pStyle w:val="Heading2"/>
        <w:numPr>
          <w:ilvl w:val="0"/>
          <w:numId w:val="0"/>
        </w:numPr>
        <w:ind w:left="709" w:right="0" w:hanging="709"/>
        <w:rPr>
          <w:color w:val="FF0000"/>
        </w:rPr>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pPr>
        <w:pStyle w:val="Heading2"/>
        <w:numPr>
          <w:ilvl w:val="0"/>
          <w:numId w:val="0"/>
        </w:numPr>
        <w:ind w:left="709" w:right="0" w:hanging="709"/>
        <w:rPr>
          <w:color w:val="FF0000"/>
        </w:rPr>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pPr>
        <w:pStyle w:val="Heading2"/>
        <w:numPr>
          <w:ilvl w:val="0"/>
          <w:numId w:val="0"/>
        </w:numPr>
        <w:ind w:left="709" w:right="0" w:hanging="709"/>
        <w:rPr>
          <w:color w:val="FF0000"/>
        </w:rPr>
      </w:pPr>
      <w:r>
        <w:rPr>
          <w:color w:val="FF0000"/>
        </w:rPr>
        <w:t>Abschliessend wird festgestellt, dass die Abweichung von der Vorschrift nicht derart geringfügig ist, dass die Nichtgewährung einer Ausnahmebewilligung im Verhältnis zum Zweck der Vorschrift als unbillig erachtet werden kann.</w:t>
      </w:r>
    </w:p>
    <w:p>
      <w:pPr>
        <w:pStyle w:val="Heading1"/>
        <w:numPr>
          <w:ilvl w:val="0"/>
          <w:numId w:val="2"/>
        </w:numPr>
        <w:ind w:left="709" w:right="0" w:hanging="709"/>
        <w:rPr/>
      </w:pPr>
      <w:r>
        <w:rPr/>
        <w:t>Antrag</w:t>
      </w:r>
    </w:p>
    <w:p>
      <w:pPr>
        <w:pStyle w:val="Heading2"/>
        <w:numPr>
          <w:ilvl w:val="1"/>
          <w:numId w:val="2"/>
        </w:numPr>
        <w:ind w:left="709" w:right="0" w:hanging="709"/>
        <w:rPr/>
      </w:pPr>
      <w:r>
        <w:rPr/>
        <w:t xml:space="preserve">Es wird beantragt, die ersuchte Ausnahmebewilligung </w:t>
      </w:r>
      <w:r>
        <w:rPr>
          <w:color w:val="FF0000"/>
        </w:rPr>
        <w:t>nicht</w:t>
      </w:r>
      <w:r>
        <w:rPr/>
        <w:t xml:space="preserve"> zu erteilen.</w:t>
      </w:r>
    </w:p>
    <w:p>
      <w:pPr>
        <w:pStyle w:val="Heading2"/>
        <w:numPr>
          <w:ilvl w:val="1"/>
          <w:numId w:val="2"/>
        </w:numPr>
        <w:ind w:left="709" w:right="0" w:hanging="709"/>
        <w:rPr/>
      </w:pPr>
      <w:r>
        <w:rPr/>
        <w:t>Nebenbestimmungen</w:t>
      </w:r>
    </w:p>
    <w:p>
      <w:pPr>
        <w:pStyle w:val="Heading3"/>
        <w:numPr>
          <w:ilvl w:val="2"/>
          <w:numId w:val="2"/>
        </w:numPr>
        <w:ind w:left="709" w:right="0" w:hanging="709"/>
        <w:rPr/>
      </w:pPr>
      <w:r>
        <w:rPr/>
      </w:r>
    </w:p>
    <w:p>
      <w:pPr>
        <w:pStyle w:val="Heading2"/>
        <w:numPr>
          <w:ilvl w:val="1"/>
          <w:numId w:val="2"/>
        </w:numPr>
        <w:ind w:left="709" w:right="0" w:hanging="709"/>
        <w:rPr/>
      </w:pPr>
      <w:r>
        <w:rPr/>
        <w:t>Hinweise:</w:t>
      </w:r>
    </w:p>
    <w:p>
      <w:pPr>
        <w:pStyle w:val="Heading3"/>
        <w:numPr>
          <w:ilvl w:val="2"/>
          <w:numId w:val="2"/>
        </w:numPr>
        <w:ind w:left="709" w:right="0" w:hanging="709"/>
        <w:rPr/>
      </w:pPr>
      <w:r>
        <w:rPr/>
        <w:t>Wir erwarten nach Abschluss des Verfahrens eine Kopie des Bauentscheides.</w:t>
      </w:r>
    </w:p>
    <w:p>
      <w:pPr>
        <w:pStyle w:val="Heading2"/>
        <w:numPr>
          <w:ilvl w:val="1"/>
          <w:numId w:val="2"/>
        </w:numPr>
        <w:ind w:left="709" w:right="0" w:hanging="709"/>
        <w:rPr/>
      </w:pPr>
      <w:r>
        <w:rPr/>
        <w:t xml:space="preserve">Die Gebühren werden auf CHF </w:t>
      </w:r>
      <w:r>
        <w:rPr/>
        <w:t>{{GEBUEHREN_TOTAL}}</w:t>
      </w:r>
      <w:r>
        <w:rPr/>
        <w:t xml:space="preserve"> festgesetzt.</w:t>
      </w:r>
      <w:r>
        <w:rPr>
          <w:rStyle w:val="FootnoteAnchor"/>
          <w:rStyle w:val="FootnoteAnchor"/>
        </w:rPr>
        <w:footnoteReference w:id="3"/>
      </w:r>
      <w:r>
        <w:rPr/>
        <w:t xml:space="preserve"> Die Rechnung folgt mit separater Post.</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highlight w:val="green"/>
              </w:rPr>
              <w:t>Statthalter/</w:t>
            </w:r>
            <w:r>
              <w:rPr>
                <w:highlight w:val="green"/>
              </w:rPr>
              <w:t>in</w:t>
            </w:r>
          </w:p>
        </w:tc>
      </w:tr>
    </w:tbl>
    <w:p>
      <w:pPr>
        <w:pStyle w:val="NoSpacing"/>
        <w:keepNext w:val="true"/>
        <w:rPr/>
      </w:pPr>
      <w:r>
        <w:rPr/>
        <w:t>Beilagen:</w:t>
      </w:r>
    </w:p>
    <w:p>
      <w:pPr>
        <w:pStyle w:val="Verteiler"/>
        <w:numPr>
          <w:ilvl w:val="0"/>
          <w:numId w:val="3"/>
        </w:numPr>
        <w:ind w:left="357" w:right="0" w:hanging="357"/>
        <w:rPr>
          <w:lang w:val="de-DE"/>
        </w:rPr>
      </w:pPr>
      <w:r>
        <w:rPr>
          <w:lang w:val="de-DE"/>
        </w:rPr>
        <w:t xml:space="preserve"> </w:t>
      </w:r>
    </w:p>
    <w:p>
      <w:pPr>
        <w:pStyle w:val="Verteiler"/>
        <w:numPr>
          <w:ilvl w:val="0"/>
          <w:numId w:val="3"/>
        </w:numPr>
        <w:ind w:left="357" w:right="0" w:hanging="357"/>
        <w:rPr>
          <w:lang w:val="de-DE"/>
        </w:rPr>
      </w:pPr>
      <w:r>
        <w:rPr>
          <w:lang w:val="de-DE"/>
        </w:rPr>
      </w:r>
    </w:p>
    <w:p>
      <w:pPr>
        <w:pStyle w:val="NoSpacing"/>
        <w:keepNext w:val="true"/>
        <w:rPr/>
      </w:pPr>
      <w:r>
        <w:rPr/>
        <w:t>Kop</w:t>
      </w:r>
      <w:bookmarkStart w:id="6" w:name="_GoBack"/>
      <w:bookmarkEnd w:id="6"/>
      <w:r>
        <w:rPr/>
        <w:t>ie an:</w:t>
      </w:r>
    </w:p>
    <w:p>
      <w:pPr>
        <w:pStyle w:val="Verteiler"/>
        <w:numPr>
          <w:ilvl w:val="0"/>
          <w:numId w:val="3"/>
        </w:numPr>
        <w:spacing w:before="0" w:after="120"/>
        <w:ind w:left="357" w:right="0" w:hanging="357"/>
        <w:contextualSpacing/>
        <w:rPr/>
      </w:pPr>
      <w:r>
        <w:rPr/>
        <w:t>RW, Akten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27 Baugesetz vom 9. Juni 1985 (BauG; BSG 721).</w:t>
      </w:r>
    </w:p>
  </w:footnote>
  <w:footnote w:id="3">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color w:val="auto"/>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Times New Roman" w:cs="Ari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ListLabel49">
    <w:name w:val="ListLabel 49"/>
    <w:qFormat/>
    <w:rPr>
      <w:rFonts w:cs="Aria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113" w:right="0" w:hanging="113"/>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before="0" w:after="120"/>
      <w:ind w:left="357" w:right="0" w:hanging="357"/>
      <w:contextualSpacing/>
    </w:pPr>
    <w:rPr>
      <w:rFonts w:eastAsia="Times New Roman"/>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bgam_amtsbericht zu ausnahme.dotx</Template>
  <TotalTime>92</TotalTime>
  <Application>LibreOffice/6.0.7.3$Linux_X86_64 LibreOffice_project/00m0$Build-3</Application>
  <Pages>3</Pages>
  <Words>677</Words>
  <Characters>4858</Characters>
  <CharactersWithSpaces>5470</CharactersWithSpaces>
  <Paragraphs>56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2019-11-26T16:00:11Z</dcterms:created>
  <dc:creator/>
  <dc:description/>
  <dc:language>en-US</dc:language>
  <cp:lastModifiedBy/>
  <cp:lastPrinted>2018-06-20T05:50:00Z</cp:lastPrinted>
  <dcterms:modified xsi:type="dcterms:W3CDTF">2019-12-10T15:23:06Z</dcterms:modified>
  <cp:revision>45</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